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8D" w:rsidRPr="000B114C" w:rsidRDefault="00DA148D"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DA148D" w:rsidRPr="000B114C" w:rsidRDefault="00DA148D" w:rsidP="00722BCA">
      <w:pPr>
        <w:spacing w:after="0" w:line="240" w:lineRule="auto"/>
        <w:jc w:val="right"/>
        <w:rPr>
          <w:rFonts w:ascii="Times New Roman" w:hAnsi="Times New Roman" w:cs="Times New Roman"/>
          <w:sz w:val="24"/>
          <w:szCs w:val="24"/>
        </w:rPr>
      </w:pP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DA148D" w:rsidRPr="000B114C" w:rsidRDefault="00DA14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DA148D" w:rsidRPr="000B114C" w:rsidRDefault="00DA148D"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7552BC">
        <w:rPr>
          <w:rFonts w:ascii="Times New Roman" w:hAnsi="Times New Roman" w:cs="Times New Roman"/>
          <w:sz w:val="24"/>
          <w:szCs w:val="24"/>
        </w:rPr>
        <w:t>12</w:t>
      </w:r>
      <w:r w:rsidRPr="000B114C">
        <w:rPr>
          <w:rFonts w:ascii="Times New Roman" w:hAnsi="Times New Roman" w:cs="Times New Roman"/>
          <w:sz w:val="24"/>
          <w:szCs w:val="24"/>
        </w:rPr>
        <w:t xml:space="preserve">» </w:t>
      </w:r>
      <w:r w:rsidR="007552BC">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7552BC">
        <w:rPr>
          <w:rFonts w:ascii="Times New Roman" w:hAnsi="Times New Roman" w:cs="Times New Roman"/>
          <w:sz w:val="24"/>
          <w:szCs w:val="24"/>
        </w:rPr>
        <w:t>347</w:t>
      </w: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ind w:firstLine="567"/>
        <w:jc w:val="both"/>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0B114C" w:rsidRDefault="00DA148D" w:rsidP="00722BCA">
      <w:pPr>
        <w:jc w:val="center"/>
        <w:rPr>
          <w:rFonts w:ascii="Times New Roman" w:hAnsi="Times New Roman" w:cs="Times New Roman"/>
          <w:sz w:val="24"/>
          <w:szCs w:val="24"/>
        </w:rPr>
      </w:pPr>
    </w:p>
    <w:p w:rsidR="00DA148D" w:rsidRPr="000B114C" w:rsidRDefault="00DA148D"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DA148D" w:rsidRPr="000B114C" w:rsidRDefault="00DA148D"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Ручьевское</w:t>
      </w:r>
      <w:r w:rsidRPr="000B114C">
        <w:rPr>
          <w:rFonts w:ascii="Times New Roman" w:hAnsi="Times New Roman" w:cs="Times New Roman"/>
        </w:rPr>
        <w:t>»</w:t>
      </w:r>
    </w:p>
    <w:p w:rsidR="00DA148D" w:rsidRPr="000B114C" w:rsidRDefault="00DA148D"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DA148D" w:rsidRPr="000B114C" w:rsidRDefault="00DA148D"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DA148D" w:rsidRDefault="00DA148D">
      <w:pPr>
        <w:rPr>
          <w:b/>
          <w:bCs/>
          <w:lang w:eastAsia="ru-RU"/>
        </w:rPr>
      </w:pPr>
      <w:r>
        <w:br w:type="page"/>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w:t>
      </w:r>
    </w:p>
    <w:p w:rsidR="00DA148D" w:rsidRPr="001E7C51" w:rsidRDefault="00DA148D"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Ручьевское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DA148D" w:rsidRPr="001E7C51" w:rsidRDefault="00DA148D"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DA148D" w:rsidRPr="001E7C51" w:rsidRDefault="00DA148D" w:rsidP="001E7C51">
      <w:pPr>
        <w:ind w:firstLine="550"/>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DA148D" w:rsidRPr="001E7C51">
          <w:rPr>
            <w:rFonts w:ascii="Times New Roman" w:hAnsi="Times New Roman" w:cs="Times New Roman"/>
          </w:rPr>
          <w:t>Перечень</w:t>
        </w:r>
      </w:hyperlink>
      <w:r w:rsidR="00DA148D"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DA148D" w:rsidRPr="001E7C51" w:rsidRDefault="00DA148D" w:rsidP="001E7C51">
      <w:pPr>
        <w:ind w:firstLine="550"/>
        <w:rPr>
          <w:rFonts w:ascii="Times New Roman" w:hAnsi="Times New Roman" w:cs="Times New Roman"/>
        </w:rPr>
      </w:pPr>
    </w:p>
    <w:p w:rsidR="00DA148D" w:rsidRPr="001E7C51" w:rsidRDefault="00DA148D" w:rsidP="001E7C51">
      <w:pPr>
        <w:ind w:firstLine="550"/>
        <w:rPr>
          <w:rFonts w:ascii="Times New Roman" w:hAnsi="Times New Roman" w:cs="Times New Roman"/>
        </w:rPr>
      </w:pPr>
      <w:r w:rsidRPr="001E7C51">
        <w:rPr>
          <w:rFonts w:ascii="Times New Roman" w:hAnsi="Times New Roman" w:cs="Times New Roman"/>
        </w:rPr>
        <w:br w:type="page"/>
      </w:r>
    </w:p>
    <w:p w:rsidR="00DA148D" w:rsidRPr="001E7C51" w:rsidRDefault="00DA148D"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1E7C51" w:rsidRDefault="00DA148D" w:rsidP="001E7C51">
      <w:pPr>
        <w:pStyle w:val="ConsPlusNormal"/>
        <w:ind w:firstLine="550"/>
        <w:jc w:val="center"/>
        <w:outlineLvl w:val="1"/>
        <w:rPr>
          <w:rFonts w:ascii="Times New Roman" w:hAnsi="Times New Roman" w:cs="Times New Roman"/>
        </w:rPr>
      </w:pPr>
    </w:p>
    <w:p w:rsidR="00DA148D" w:rsidRPr="001E7C51" w:rsidRDefault="00DA14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Ручьевское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B6AB1" w:rsidRDefault="00DA148D"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DA148D" w:rsidRPr="001B6AB1" w:rsidRDefault="00DA148D" w:rsidP="001B6AB1">
      <w:pPr>
        <w:pStyle w:val="ConsPlusNormal"/>
        <w:ind w:firstLine="540"/>
        <w:jc w:val="center"/>
        <w:rPr>
          <w:rFonts w:ascii="Times New Roman" w:hAnsi="Times New Roman" w:cs="Times New Roman"/>
        </w:rPr>
      </w:pPr>
    </w:p>
    <w:p w:rsidR="00DA148D" w:rsidRPr="001B6AB1" w:rsidRDefault="00DA14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B6AB1" w:rsidRDefault="00DA148D"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B6AB1" w:rsidTr="00D87DB8">
        <w:trPr>
          <w:tblHeader/>
        </w:trPr>
        <w:tc>
          <w:tcPr>
            <w:tcW w:w="19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DA148D" w:rsidRPr="001B6AB1" w:rsidRDefault="00DA14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DA148D" w:rsidRPr="001B6AB1" w:rsidTr="000915B8">
        <w:tc>
          <w:tcPr>
            <w:tcW w:w="1984"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DA148D" w:rsidRPr="001B6AB1" w:rsidRDefault="00DA14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DA148D" w:rsidRPr="001B6AB1" w:rsidRDefault="00DA14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DA148D" w:rsidRPr="001B6AB1" w:rsidRDefault="00DA148D" w:rsidP="001B6AB1">
      <w:pPr>
        <w:pStyle w:val="ConsPlusNormal"/>
        <w:rPr>
          <w:rFonts w:ascii="Times New Roman" w:hAnsi="Times New Roman" w:cs="Times New Roman"/>
        </w:rPr>
      </w:pPr>
    </w:p>
    <w:p w:rsidR="00DA148D" w:rsidRPr="001B6AB1" w:rsidRDefault="00DA148D"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B6AB1">
      <w:pPr>
        <w:pStyle w:val="ConsPlusNormal"/>
        <w:ind w:firstLine="550"/>
        <w:jc w:val="both"/>
        <w:rPr>
          <w:rFonts w:ascii="Times New Roman" w:hAnsi="Times New Roman" w:cs="Times New Roman"/>
        </w:rPr>
      </w:pPr>
    </w:p>
    <w:p w:rsidR="00DA148D" w:rsidRPr="001E7C51" w:rsidRDefault="00DA148D"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DA148D" w:rsidRPr="001E7C51" w:rsidTr="000915B8">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DA148D" w:rsidRPr="001E7C51">
        <w:tc>
          <w:tcPr>
            <w:tcW w:w="9615"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DA148D" w:rsidRPr="001E7C51" w:rsidRDefault="00DA14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DA148D" w:rsidRPr="001E7C51" w:rsidTr="000915B8">
        <w:tc>
          <w:tcPr>
            <w:tcW w:w="187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DA148D" w:rsidRPr="001E7C51" w:rsidTr="000915B8">
        <w:tc>
          <w:tcPr>
            <w:tcW w:w="187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DA148D" w:rsidRPr="001E7C51" w:rsidTr="000915B8">
        <w:tc>
          <w:tcPr>
            <w:tcW w:w="1984"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vAlign w:val="center"/>
          </w:tcPr>
          <w:p w:rsidR="00DA148D" w:rsidRPr="001E7C51" w:rsidRDefault="00DA148D"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DA148D" w:rsidRPr="001E7C51" w:rsidTr="000915B8">
        <w:tc>
          <w:tcPr>
            <w:tcW w:w="4031"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DA148D" w:rsidRPr="001E7C51" w:rsidRDefault="00DA14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DA148D" w:rsidRPr="001E7C51" w:rsidTr="000915B8">
        <w:tc>
          <w:tcPr>
            <w:tcW w:w="4173" w:type="dxa"/>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DA148D" w:rsidRPr="001E7C51">
        <w:tc>
          <w:tcPr>
            <w:tcW w:w="9701" w:type="dxa"/>
            <w:gridSpan w:val="2"/>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DA148D" w:rsidRPr="001E7C51">
        <w:tc>
          <w:tcPr>
            <w:tcW w:w="9615" w:type="dxa"/>
            <w:gridSpan w:val="7"/>
          </w:tcPr>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DA148D" w:rsidRPr="001E7C51" w:rsidTr="000915B8">
        <w:tc>
          <w:tcPr>
            <w:tcW w:w="1984"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tc>
          <w:tcPr>
            <w:tcW w:w="1984" w:type="dxa"/>
            <w:vMerge/>
          </w:tcPr>
          <w:p w:rsidR="00DA148D" w:rsidRPr="001E7C51" w:rsidRDefault="00DA148D" w:rsidP="001E7C51">
            <w:pPr>
              <w:ind w:firstLine="550"/>
              <w:rPr>
                <w:rFonts w:ascii="Times New Roman" w:hAnsi="Times New Roman" w:cs="Times New Roman"/>
              </w:rPr>
            </w:pPr>
          </w:p>
        </w:tc>
        <w:tc>
          <w:tcPr>
            <w:tcW w:w="7631" w:type="dxa"/>
            <w:gridSpan w:val="6"/>
          </w:tcPr>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DA148D" w:rsidRPr="001E7C51" w:rsidTr="000915B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0915B8">
            <w:pPr>
              <w:pStyle w:val="ConsPlusNormal"/>
              <w:ind w:firstLine="550"/>
              <w:jc w:val="center"/>
              <w:rPr>
                <w:rFonts w:ascii="Times New Roman" w:hAnsi="Times New Roman" w:cs="Times New Roman"/>
              </w:rPr>
            </w:pP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40</w:t>
            </w:r>
          </w:p>
          <w:p w:rsidR="00DA148D" w:rsidRPr="001E7C51" w:rsidRDefault="00DA14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2,75</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2</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1,0</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основные</w:t>
            </w:r>
          </w:p>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DA148D" w:rsidRPr="001E7C51" w:rsidRDefault="00DA148D" w:rsidP="00424A24">
            <w:pPr>
              <w:pStyle w:val="ConsPlusNormal"/>
              <w:ind w:firstLine="550"/>
              <w:jc w:val="center"/>
              <w:rPr>
                <w:rFonts w:ascii="Times New Roman" w:hAnsi="Times New Roman" w:cs="Times New Roman"/>
              </w:rPr>
            </w:pP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DA148D" w:rsidRPr="001E7C51">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DA148D" w:rsidRPr="001E7C51" w:rsidRDefault="00DA148D"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vMerge/>
          </w:tcPr>
          <w:p w:rsidR="00DA148D" w:rsidRPr="001E7C51" w:rsidRDefault="00DA148D" w:rsidP="001E7C51">
            <w:pPr>
              <w:ind w:firstLine="550"/>
              <w:rPr>
                <w:rFonts w:ascii="Times New Roman" w:hAnsi="Times New Roman" w:cs="Times New Roman"/>
              </w:rPr>
            </w:pP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DA148D" w:rsidRPr="001E7C51" w:rsidTr="00424A24">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1616" w:type="dxa"/>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DA148D" w:rsidRPr="001E7C51" w:rsidRDefault="00DA14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4620" w:type="dxa"/>
            <w:gridSpan w:val="4"/>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DA148D" w:rsidRPr="001E7C51" w:rsidTr="00066788">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DA148D" w:rsidRPr="001E7C51" w:rsidRDefault="00DA148D"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353" w:type="dxa"/>
            <w:gridSpan w:val="2"/>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066788">
        <w:tc>
          <w:tcPr>
            <w:tcW w:w="1984"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DA148D" w:rsidRPr="001E7C51" w:rsidTr="00066788">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2693" w:type="dxa"/>
            <w:gridSpan w:val="3"/>
          </w:tcPr>
          <w:p w:rsidR="00DA148D" w:rsidRPr="001E7C51" w:rsidRDefault="00DA14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DA148D" w:rsidRPr="001E7C51" w:rsidRDefault="00DA14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DA148D" w:rsidRPr="001E7C51">
        <w:tc>
          <w:tcPr>
            <w:tcW w:w="187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DA148D" w:rsidRPr="001E7C51" w:rsidTr="00D07871">
        <w:tc>
          <w:tcPr>
            <w:tcW w:w="5307" w:type="dxa"/>
            <w:vAlign w:val="center"/>
          </w:tcPr>
          <w:p w:rsidR="00DA148D" w:rsidRPr="001E7C51" w:rsidRDefault="00DA14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D07871">
        <w:tc>
          <w:tcPr>
            <w:tcW w:w="530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DA148D" w:rsidRPr="001E7C51" w:rsidTr="00D07871">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vMerge/>
          </w:tcPr>
          <w:p w:rsidR="00DA148D" w:rsidRPr="001E7C51" w:rsidRDefault="00DA148D" w:rsidP="001E7C51">
            <w:pPr>
              <w:ind w:firstLine="550"/>
              <w:rPr>
                <w:rFonts w:ascii="Times New Roman" w:hAnsi="Times New Roman" w:cs="Times New Roman"/>
              </w:rPr>
            </w:pPr>
          </w:p>
        </w:tc>
        <w:tc>
          <w:tcPr>
            <w:tcW w:w="1275"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DA148D" w:rsidRPr="001E7C51" w:rsidTr="00D07871">
        <w:tc>
          <w:tcPr>
            <w:tcW w:w="1984" w:type="dxa"/>
            <w:vMerge/>
          </w:tcPr>
          <w:p w:rsidR="00DA148D" w:rsidRPr="001E7C51" w:rsidRDefault="00DA148D" w:rsidP="001E7C51">
            <w:pPr>
              <w:ind w:firstLine="550"/>
              <w:rPr>
                <w:rFonts w:ascii="Times New Roman" w:hAnsi="Times New Roman" w:cs="Times New Roman"/>
              </w:rPr>
            </w:pPr>
          </w:p>
        </w:tc>
        <w:tc>
          <w:tcPr>
            <w:tcW w:w="346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DA148D" w:rsidRPr="001E7C51" w:rsidTr="00D07871">
        <w:tc>
          <w:tcPr>
            <w:tcW w:w="187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DA148D" w:rsidRPr="001E7C51" w:rsidTr="00D07871">
        <w:tc>
          <w:tcPr>
            <w:tcW w:w="1871" w:type="dxa"/>
            <w:vMerge/>
          </w:tcPr>
          <w:p w:rsidR="00DA148D" w:rsidRPr="001E7C51" w:rsidRDefault="00DA148D" w:rsidP="001E7C51">
            <w:pPr>
              <w:ind w:firstLine="550"/>
              <w:rPr>
                <w:rFonts w:ascii="Times New Roman" w:hAnsi="Times New Roman" w:cs="Times New Roman"/>
              </w:rPr>
            </w:pPr>
          </w:p>
        </w:tc>
        <w:tc>
          <w:tcPr>
            <w:tcW w:w="1984" w:type="dxa"/>
            <w:vMerge/>
          </w:tcPr>
          <w:p w:rsidR="00DA148D" w:rsidRPr="001E7C51" w:rsidRDefault="00DA148D" w:rsidP="001E7C51">
            <w:pPr>
              <w:ind w:firstLine="550"/>
              <w:rPr>
                <w:rFonts w:ascii="Times New Roman" w:hAnsi="Times New Roman" w:cs="Times New Roman"/>
              </w:rPr>
            </w:pPr>
          </w:p>
        </w:tc>
        <w:tc>
          <w:tcPr>
            <w:tcW w:w="2777"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DA148D" w:rsidRPr="001E7C51" w:rsidTr="00D07871">
        <w:trPr>
          <w:gridAfter w:val="1"/>
          <w:wAfter w:w="6" w:type="dxa"/>
        </w:trPr>
        <w:tc>
          <w:tcPr>
            <w:tcW w:w="1981"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DA148D" w:rsidRPr="001E7C51" w:rsidTr="00D07871">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7778" w:type="dxa"/>
            <w:gridSpan w:val="11"/>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val="restart"/>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DA148D" w:rsidRPr="001E7C51" w:rsidTr="0007010D">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Merge/>
          </w:tcPr>
          <w:p w:rsidR="00DA148D" w:rsidRPr="001E7C51" w:rsidRDefault="00DA148D" w:rsidP="001E7C51">
            <w:pPr>
              <w:ind w:firstLine="550"/>
              <w:rPr>
                <w:rFonts w:ascii="Times New Roman" w:hAnsi="Times New Roman" w:cs="Times New Roman"/>
              </w:rPr>
            </w:pP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DA148D" w:rsidRPr="001E7C51" w:rsidTr="00D62B4B">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DA148D" w:rsidRPr="001E7C51" w:rsidTr="00D0787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1276" w:type="dxa"/>
          </w:tcPr>
          <w:p w:rsidR="00DA148D" w:rsidRPr="001E7C51" w:rsidRDefault="00DA14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DA148D" w:rsidRPr="001E7C51" w:rsidRDefault="00DA14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DA148D" w:rsidRPr="001E7C51" w:rsidTr="00035457">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DA148D" w:rsidRPr="001E7C51" w:rsidRDefault="00DA14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A620AA">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val="restart"/>
          </w:tcPr>
          <w:p w:rsidR="00DA148D" w:rsidRDefault="00DA148D" w:rsidP="00035457">
            <w:pPr>
              <w:pStyle w:val="ConsPlusNormal"/>
              <w:rPr>
                <w:rFonts w:ascii="Times New Roman" w:hAnsi="Times New Roman" w:cs="Times New Roman"/>
              </w:rPr>
            </w:pPr>
          </w:p>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3D334C">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vMerge/>
          </w:tcPr>
          <w:p w:rsidR="00DA148D" w:rsidRPr="001E7C51" w:rsidRDefault="00DA148D" w:rsidP="001E7C51">
            <w:pPr>
              <w:ind w:firstLine="550"/>
              <w:rPr>
                <w:rFonts w:ascii="Times New Roman" w:hAnsi="Times New Roman" w:cs="Times New Roman"/>
              </w:rPr>
            </w:pP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rsidTr="005D52DE">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2843" w:type="dxa"/>
            <w:gridSpan w:val="3"/>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DA148D" w:rsidRPr="001E7C51" w:rsidRDefault="00DA14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DA148D" w:rsidRPr="001E7C51">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vMerge/>
          </w:tcPr>
          <w:p w:rsidR="00DA148D" w:rsidRPr="001E7C51" w:rsidRDefault="00DA148D" w:rsidP="001E7C51">
            <w:pPr>
              <w:ind w:firstLine="550"/>
              <w:rPr>
                <w:rFonts w:ascii="Times New Roman" w:hAnsi="Times New Roman" w:cs="Times New Roman"/>
              </w:rPr>
            </w:pPr>
          </w:p>
        </w:tc>
        <w:tc>
          <w:tcPr>
            <w:tcW w:w="5733" w:type="dxa"/>
            <w:gridSpan w:val="10"/>
          </w:tcPr>
          <w:p w:rsidR="00DA148D" w:rsidRPr="001E7C51" w:rsidRDefault="00DA14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DA148D" w:rsidRPr="001E7C51" w:rsidTr="00163B25">
        <w:trPr>
          <w:gridAfter w:val="1"/>
          <w:wAfter w:w="6" w:type="dxa"/>
        </w:trPr>
        <w:tc>
          <w:tcPr>
            <w:tcW w:w="1981" w:type="dxa"/>
            <w:vMerge/>
          </w:tcPr>
          <w:p w:rsidR="00DA148D" w:rsidRPr="001E7C51" w:rsidRDefault="00DA148D" w:rsidP="001E7C51">
            <w:pPr>
              <w:ind w:firstLine="550"/>
              <w:rPr>
                <w:rFonts w:ascii="Times New Roman" w:hAnsi="Times New Roman" w:cs="Times New Roman"/>
              </w:rPr>
            </w:pPr>
          </w:p>
        </w:tc>
        <w:tc>
          <w:tcPr>
            <w:tcW w:w="2045"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tcPr>
          <w:p w:rsidR="00DA148D" w:rsidRPr="001E7C51" w:rsidRDefault="00DA14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DA148D" w:rsidRPr="001E7C51" w:rsidTr="00163B25">
        <w:tc>
          <w:tcPr>
            <w:tcW w:w="1984"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DA148D" w:rsidRPr="001E7C51" w:rsidRDefault="00DA148D" w:rsidP="00163B25">
            <w:pPr>
              <w:ind w:firstLine="550"/>
              <w:jc w:val="center"/>
              <w:rPr>
                <w:rFonts w:ascii="Times New Roman" w:hAnsi="Times New Roman" w:cs="Times New Roman"/>
              </w:rPr>
            </w:pP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DA148D" w:rsidRPr="001E7C51" w:rsidTr="00163B25">
        <w:tc>
          <w:tcPr>
            <w:tcW w:w="1984" w:type="dxa"/>
            <w:vMerge w:val="restart"/>
          </w:tcPr>
          <w:p w:rsidR="00DA148D" w:rsidRPr="001E7C51" w:rsidRDefault="00DA148D" w:rsidP="00163B2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val="restart"/>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DA148D" w:rsidRPr="001E7C51" w:rsidTr="00163B25">
        <w:tc>
          <w:tcPr>
            <w:tcW w:w="1984" w:type="dxa"/>
            <w:vMerge/>
          </w:tcPr>
          <w:p w:rsidR="00DA148D" w:rsidRPr="001E7C51" w:rsidRDefault="00DA148D" w:rsidP="001E7C51">
            <w:pPr>
              <w:ind w:firstLine="550"/>
              <w:rPr>
                <w:rFonts w:ascii="Times New Roman" w:hAnsi="Times New Roman" w:cs="Times New Roman"/>
              </w:rPr>
            </w:pPr>
          </w:p>
        </w:tc>
        <w:tc>
          <w:tcPr>
            <w:tcW w:w="2047" w:type="dxa"/>
            <w:vMerge/>
          </w:tcPr>
          <w:p w:rsidR="00DA148D" w:rsidRPr="001E7C51" w:rsidRDefault="00DA148D" w:rsidP="001E7C51">
            <w:pPr>
              <w:ind w:firstLine="550"/>
              <w:rPr>
                <w:rFonts w:ascii="Times New Roman" w:hAnsi="Times New Roman" w:cs="Times New Roman"/>
              </w:rPr>
            </w:pPr>
          </w:p>
        </w:tc>
        <w:tc>
          <w:tcPr>
            <w:tcW w:w="3883" w:type="dxa"/>
          </w:tcPr>
          <w:p w:rsidR="00DA148D" w:rsidRPr="001E7C51" w:rsidRDefault="00DA14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DA148D" w:rsidRPr="001E7C51" w:rsidRDefault="00DA14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DA148D" w:rsidRPr="001E7C51" w:rsidTr="008F1A02">
        <w:tc>
          <w:tcPr>
            <w:tcW w:w="1871"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DA148D" w:rsidRPr="001E7C51" w:rsidTr="008F1A02">
        <w:tc>
          <w:tcPr>
            <w:tcW w:w="1871"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DA148D" w:rsidRPr="001E7C51" w:rsidRDefault="00DA14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DA148D" w:rsidRPr="001E7C51" w:rsidRDefault="00DA14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B936CC" w:rsidRDefault="00DA148D"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«Ручьевское» Мезенского района </w:t>
      </w:r>
      <w:r w:rsidRPr="00B936CC">
        <w:rPr>
          <w:rFonts w:ascii="Times New Roman" w:hAnsi="Times New Roman" w:cs="Times New Roman"/>
        </w:rPr>
        <w:t>Архангельской области</w:t>
      </w:r>
    </w:p>
    <w:p w:rsidR="00DA148D" w:rsidRPr="00CB5ED6" w:rsidRDefault="00DA148D" w:rsidP="001E7C51">
      <w:pPr>
        <w:pStyle w:val="ConsPlusNormal"/>
        <w:ind w:firstLine="550"/>
        <w:jc w:val="both"/>
        <w:rPr>
          <w:rFonts w:ascii="Times New Roman" w:hAnsi="Times New Roman" w:cs="Times New Roman"/>
        </w:rPr>
      </w:pPr>
    </w:p>
    <w:p w:rsidR="00DA148D" w:rsidRPr="00CB5ED6" w:rsidRDefault="00DA148D" w:rsidP="004518BF">
      <w:pPr>
        <w:pStyle w:val="ConsPlusNormal"/>
        <w:numPr>
          <w:ilvl w:val="0"/>
          <w:numId w:val="1"/>
        </w:numPr>
        <w:ind w:left="0" w:firstLine="540"/>
        <w:jc w:val="both"/>
        <w:rPr>
          <w:rFonts w:ascii="Times New Roman" w:hAnsi="Times New Roman" w:cs="Times New Roman"/>
        </w:rPr>
      </w:pPr>
      <w:r w:rsidRPr="00CB5ED6">
        <w:rPr>
          <w:rFonts w:ascii="Times New Roman" w:hAnsi="Times New Roman" w:cs="Times New Roman"/>
        </w:rPr>
        <w:t xml:space="preserve"> Муниципальное образование «Ручьевское» расположено на территории Мезенского муниципального района Архангельской области, граничит с муниципальными образованиями «Койденское», «Соянское», с Приморским муниципальным районом. Поселение занимает территорию общей площадью 3072,0 кв. км. (307 200 га). В состав поселения входят следующие населенные пункты – село Ручьи и деревни Инцы и Мегра.</w:t>
      </w:r>
    </w:p>
    <w:p w:rsidR="00DA148D" w:rsidRPr="00B777E0" w:rsidRDefault="00DA148D" w:rsidP="004518BF">
      <w:pPr>
        <w:pStyle w:val="ConsPlusNormal"/>
        <w:ind w:firstLine="540"/>
        <w:jc w:val="both"/>
        <w:rPr>
          <w:rFonts w:ascii="Times New Roman" w:hAnsi="Times New Roman" w:cs="Times New Roman"/>
        </w:rPr>
      </w:pPr>
      <w:r w:rsidRPr="00CB5ED6">
        <w:rPr>
          <w:rFonts w:ascii="Times New Roman" w:hAnsi="Times New Roman" w:cs="Times New Roman"/>
        </w:rPr>
        <w:t>Численность постоянного населения по состоянию на 01.01.2017 составляет 280 чел. Из общего количества населения трудоспособное</w:t>
      </w:r>
      <w:r w:rsidRPr="00396515">
        <w:rPr>
          <w:rFonts w:ascii="Times New Roman" w:hAnsi="Times New Roman" w:cs="Times New Roman"/>
        </w:rPr>
        <w:t xml:space="preserve"> население составляет 36,20%, население младше трудоспособного возраста – 12,0%, население </w:t>
      </w:r>
      <w:r w:rsidRPr="00B777E0">
        <w:rPr>
          <w:rFonts w:ascii="Times New Roman" w:hAnsi="Times New Roman" w:cs="Times New Roman"/>
        </w:rPr>
        <w:t>старше трудоспособного возраста –  51,80%.</w:t>
      </w:r>
    </w:p>
    <w:p w:rsidR="00DA148D" w:rsidRPr="00B777E0" w:rsidRDefault="00DA148D" w:rsidP="004518BF">
      <w:pPr>
        <w:pStyle w:val="ConsPlusNormal"/>
        <w:ind w:firstLine="540"/>
        <w:jc w:val="both"/>
        <w:rPr>
          <w:rFonts w:ascii="Times New Roman" w:hAnsi="Times New Roman" w:cs="Times New Roman"/>
        </w:rPr>
      </w:pPr>
      <w:r w:rsidRPr="00B777E0">
        <w:rPr>
          <w:rFonts w:ascii="Times New Roman" w:hAnsi="Times New Roman" w:cs="Times New Roman"/>
        </w:rPr>
        <w:t>Плотность населения сельского поселения «Ручьевское» Мезенского муниципального района по состоянию на 01.01.2017 составляет 0,09 чел./кв.км.</w:t>
      </w:r>
    </w:p>
    <w:p w:rsidR="00DA148D" w:rsidRPr="001E7C51" w:rsidRDefault="00DA148D" w:rsidP="001E7C51">
      <w:pPr>
        <w:pStyle w:val="ConsPlusNormal"/>
        <w:ind w:firstLine="550"/>
        <w:jc w:val="both"/>
        <w:rPr>
          <w:rFonts w:ascii="Times New Roman" w:hAnsi="Times New Roman" w:cs="Times New Roman"/>
        </w:rPr>
      </w:pPr>
      <w:r w:rsidRPr="00B777E0">
        <w:rPr>
          <w:rFonts w:ascii="Times New Roman" w:hAnsi="Times New Roman" w:cs="Times New Roman"/>
        </w:rPr>
        <w:t>2. Селитебная территория формируется с учетом взаимоувязанного</w:t>
      </w:r>
      <w:r w:rsidRPr="00A03FDA">
        <w:rPr>
          <w:rFonts w:ascii="Times New Roman" w:hAnsi="Times New Roman" w:cs="Times New Roman"/>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w:t>
      </w:r>
      <w:r w:rsidRPr="00CC65D3">
        <w:rPr>
          <w:rFonts w:ascii="Times New Roman" w:hAnsi="Times New Roman" w:cs="Times New Roman"/>
        </w:rPr>
        <w:t xml:space="preserve">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lastRenderedPageBreak/>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DA148D" w:rsidRPr="001E7C51" w:rsidRDefault="00DA148D"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повышение надежности работы инженерных систем жизнеобеспечения сельского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DA148D" w:rsidRPr="001E7C51" w:rsidRDefault="00DA148D" w:rsidP="001E7C51">
      <w:pPr>
        <w:pStyle w:val="ConsPlusNormal"/>
        <w:ind w:firstLine="550"/>
        <w:jc w:val="both"/>
        <w:rPr>
          <w:rFonts w:ascii="Times New Roman" w:hAnsi="Times New Roman" w:cs="Times New Roman"/>
        </w:rPr>
      </w:pPr>
    </w:p>
    <w:p w:rsidR="00DA148D" w:rsidRPr="00553E2E" w:rsidRDefault="00DA148D"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DA148D" w:rsidRPr="00553E2E" w:rsidRDefault="00DA148D"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DA148D" w:rsidRPr="00553E2E" w:rsidRDefault="00DA148D"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DA148D" w:rsidRPr="001E7C51" w:rsidRDefault="00DA148D" w:rsidP="001E7C51">
      <w:pPr>
        <w:pStyle w:val="ConsPlusNormal"/>
        <w:ind w:firstLine="550"/>
        <w:jc w:val="both"/>
        <w:rPr>
          <w:rFonts w:ascii="Times New Roman" w:hAnsi="Times New Roman" w:cs="Times New Roman"/>
          <w:color w:val="FF0000"/>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Ручьевское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007EF5">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водоснабжением – 0 %. </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w:t>
      </w:r>
      <w:r w:rsidRPr="001E7C51">
        <w:rPr>
          <w:rFonts w:ascii="Times New Roman" w:hAnsi="Times New Roman" w:cs="Times New Roman"/>
        </w:rPr>
        <w:t xml:space="preserve">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Ручьевское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007EF5">
        <w:rPr>
          <w:rFonts w:ascii="Times New Roman" w:hAnsi="Times New Roman" w:cs="Times New Roman"/>
        </w:rPr>
        <w:t>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4. Для обеспечения благоприятных условий жизнедеятельности населения на территории сельского поселения «Ручьевское» установлен уровень обеспеченности централизованным водоотведением для общественно-деловой и многоэтажной жилой застройки – 0 %.</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w:t>
      </w:r>
      <w:r w:rsidRPr="001E7C51">
        <w:rPr>
          <w:rFonts w:ascii="Times New Roman" w:hAnsi="Times New Roman" w:cs="Times New Roman"/>
        </w:rPr>
        <w:t xml:space="preserve"> </w:t>
      </w:r>
      <w:r w:rsidRPr="001E7C51">
        <w:rPr>
          <w:rFonts w:ascii="Times New Roman" w:hAnsi="Times New Roman" w:cs="Times New Roman"/>
        </w:rPr>
        <w:lastRenderedPageBreak/>
        <w:t xml:space="preserve">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DA148D" w:rsidRPr="001E7C51" w:rsidRDefault="00DA148D" w:rsidP="001E7C51">
      <w:pPr>
        <w:pStyle w:val="ConsPlusNormal"/>
        <w:ind w:firstLine="550"/>
        <w:jc w:val="both"/>
        <w:rPr>
          <w:rFonts w:ascii="Times New Roman" w:hAnsi="Times New Roman" w:cs="Times New Roman"/>
        </w:rPr>
      </w:pPr>
    </w:p>
    <w:p w:rsidR="00DA148D" w:rsidRPr="00007EF5"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007EF5">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DA148D" w:rsidRPr="00007EF5"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DA148D" w:rsidRPr="001E7C51" w:rsidRDefault="00DA148D" w:rsidP="001E7C51">
      <w:pPr>
        <w:pStyle w:val="ConsPlusNormal"/>
        <w:ind w:firstLine="550"/>
        <w:jc w:val="both"/>
        <w:rPr>
          <w:rFonts w:ascii="Times New Roman" w:hAnsi="Times New Roman" w:cs="Times New Roman"/>
        </w:rPr>
      </w:pPr>
      <w:r w:rsidRPr="00007EF5">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w:t>
      </w:r>
      <w:r w:rsidRPr="001E7C51">
        <w:rPr>
          <w:rFonts w:ascii="Times New Roman" w:hAnsi="Times New Roman" w:cs="Times New Roman"/>
        </w:rPr>
        <w:t xml:space="preserve">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Ручьевское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DA148D" w:rsidRPr="00FA33C2"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DA148D" w:rsidRPr="00FA33C2" w:rsidRDefault="00DA148D"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4. Для обеспечения благоприятных условий жизнедеятельности населения на территории </w:t>
      </w:r>
      <w:r w:rsidRPr="00FA33C2">
        <w:rPr>
          <w:rFonts w:ascii="Times New Roman" w:hAnsi="Times New Roman" w:cs="Times New Roman"/>
        </w:rPr>
        <w:lastRenderedPageBreak/>
        <w:t>сельского поселения «</w:t>
      </w:r>
      <w:r>
        <w:rPr>
          <w:rFonts w:ascii="Times New Roman" w:hAnsi="Times New Roman" w:cs="Times New Roman"/>
        </w:rPr>
        <w:t>Ручьевское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DA148D" w:rsidRPr="001E7C51" w:rsidRDefault="00DA148D"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DA148D" w:rsidRPr="001E7C51" w:rsidRDefault="00DA148D" w:rsidP="001E7C51">
      <w:pPr>
        <w:pStyle w:val="ConsPlusNormal"/>
        <w:ind w:firstLine="550"/>
        <w:jc w:val="both"/>
        <w:rPr>
          <w:rFonts w:ascii="Times New Roman" w:hAnsi="Times New Roman" w:cs="Times New Roman"/>
        </w:rPr>
      </w:pPr>
      <w:bookmarkStart w:id="0" w:name="P1309"/>
      <w:bookmarkEnd w:id="0"/>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w:t>
      </w:r>
      <w:r w:rsidRPr="001E7C51">
        <w:rPr>
          <w:rFonts w:ascii="Times New Roman" w:hAnsi="Times New Roman" w:cs="Times New Roman"/>
        </w:rPr>
        <w:lastRenderedPageBreak/>
        <w:t>расстоянии не менее 50 м от конца кривой радиуса закругления на ближайшем пересечении и не менее 150 м друг от друга.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w:t>
      </w:r>
      <w:r w:rsidRPr="001E7C51">
        <w:rPr>
          <w:rFonts w:ascii="Times New Roman" w:hAnsi="Times New Roman" w:cs="Times New Roman"/>
        </w:rPr>
        <w:lastRenderedPageBreak/>
        <w:t>требований.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DA148D" w:rsidRPr="001E7C51" w:rsidRDefault="00DA148D" w:rsidP="001E7C51">
      <w:pPr>
        <w:ind w:firstLine="550"/>
        <w:rPr>
          <w:rFonts w:ascii="Times New Roman" w:hAnsi="Times New Roman" w:cs="Times New Roman"/>
        </w:rPr>
        <w:sectPr w:rsidR="00DA148D" w:rsidRPr="001E7C51">
          <w:headerReference w:type="default" r:id="rId25"/>
          <w:pgSz w:w="11905" w:h="16838"/>
          <w:pgMar w:top="1134" w:right="850" w:bottom="1134" w:left="1701" w:header="0" w:footer="0" w:gutter="0"/>
          <w:cols w:space="720"/>
        </w:sectPr>
      </w:pPr>
    </w:p>
    <w:p w:rsidR="00DA148D" w:rsidRPr="001E7C51" w:rsidRDefault="00DA14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DA148D" w:rsidRPr="001E7C51" w:rsidTr="001D7D0E">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DA148D" w:rsidRPr="001E7C51" w:rsidTr="001D7D0E">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DA148D" w:rsidRPr="001E7C51" w:rsidTr="001D7D0E">
        <w:tc>
          <w:tcPr>
            <w:tcW w:w="1871" w:type="dxa"/>
          </w:tcPr>
          <w:p w:rsidR="00DA148D" w:rsidRPr="001E7C51" w:rsidRDefault="00DA14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DA148D" w:rsidRPr="001E7C51" w:rsidRDefault="00DA148D"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DA148D" w:rsidRPr="001E7C51" w:rsidTr="001D7D0E">
        <w:tc>
          <w:tcPr>
            <w:tcW w:w="6236"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DA148D" w:rsidRPr="001E7C51">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DA148D" w:rsidRPr="001E7C51" w:rsidRDefault="00DA148D" w:rsidP="001E7C51">
            <w:pPr>
              <w:pStyle w:val="ConsPlusNormal"/>
              <w:ind w:firstLine="550"/>
              <w:jc w:val="right"/>
              <w:rPr>
                <w:rFonts w:ascii="Times New Roman" w:hAnsi="Times New Roman" w:cs="Times New Roman"/>
              </w:rPr>
            </w:pPr>
          </w:p>
        </w:tc>
        <w:tc>
          <w:tcPr>
            <w:tcW w:w="1587" w:type="dxa"/>
          </w:tcPr>
          <w:p w:rsidR="00DA148D" w:rsidRPr="001E7C51" w:rsidRDefault="00DA148D" w:rsidP="001E7C51">
            <w:pPr>
              <w:pStyle w:val="ConsPlusNormal"/>
              <w:ind w:firstLine="550"/>
              <w:jc w:val="right"/>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lastRenderedPageBreak/>
              <w:t>Многоэтажная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ind w:firstLine="550"/>
              <w:jc w:val="center"/>
              <w:rPr>
                <w:rFonts w:ascii="Times New Roman" w:hAnsi="Times New Roman" w:cs="Times New Roman"/>
              </w:rPr>
            </w:pPr>
          </w:p>
        </w:tc>
        <w:tc>
          <w:tcPr>
            <w:tcW w:w="1587" w:type="dxa"/>
            <w:vAlign w:val="center"/>
          </w:tcPr>
          <w:p w:rsidR="00DA148D" w:rsidRPr="001E7C51" w:rsidRDefault="00DA148D" w:rsidP="001D7D0E">
            <w:pPr>
              <w:pStyle w:val="ConsPlusNormal"/>
              <w:ind w:firstLine="550"/>
              <w:jc w:val="center"/>
              <w:rPr>
                <w:rFonts w:ascii="Times New Roman" w:hAnsi="Times New Roman" w:cs="Times New Roman"/>
              </w:rPr>
            </w:pP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DA148D" w:rsidRPr="001E7C51" w:rsidTr="001D7D0E">
        <w:tc>
          <w:tcPr>
            <w:tcW w:w="6236" w:type="dxa"/>
          </w:tcPr>
          <w:p w:rsidR="00DA148D" w:rsidRPr="001E7C51" w:rsidRDefault="00DA14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DA148D" w:rsidRPr="001E7C51" w:rsidRDefault="00DA14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DA148D" w:rsidRPr="001E7C51" w:rsidRDefault="00DA148D" w:rsidP="001E7C51">
      <w:pPr>
        <w:ind w:firstLine="550"/>
        <w:rPr>
          <w:rFonts w:ascii="Times New Roman" w:hAnsi="Times New Roman" w:cs="Times New Roman"/>
        </w:rPr>
        <w:sectPr w:rsidR="00DA148D" w:rsidRPr="001E7C51" w:rsidSect="001D18B3">
          <w:type w:val="continuous"/>
          <w:pgSz w:w="11905" w:h="16838"/>
          <w:pgMar w:top="1134" w:right="1701" w:bottom="1134" w:left="1701" w:header="0" w:footer="0" w:gutter="0"/>
          <w:cols w:space="720"/>
          <w:docGrid w:linePitch="299"/>
        </w:sectPr>
      </w:pPr>
    </w:p>
    <w:p w:rsidR="00DA148D" w:rsidRPr="001E7C51" w:rsidRDefault="00DA148D" w:rsidP="001E7C51">
      <w:pPr>
        <w:pStyle w:val="ConsPlusNormal"/>
        <w:ind w:firstLine="550"/>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4. В соответствии с приложением "Ж" СП 42.13330.2011 расчетный показатель </w:t>
      </w:r>
      <w:r w:rsidRPr="001E7C51">
        <w:rPr>
          <w:rFonts w:ascii="Times New Roman" w:hAnsi="Times New Roman" w:cs="Times New Roman"/>
        </w:rPr>
        <w:lastRenderedPageBreak/>
        <w:t>минимально допустимого размера земельного участка кладбища для погребения после кремации установлен: 0,02 га/1 тыс. чел.</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lastRenderedPageBreak/>
        <w:t>4.9. Расчетные показатели объектов иного значения,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Ручьевское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7. Расчетные показатели минимально допустимых площадей и размеров земельных </w:t>
      </w:r>
      <w:r w:rsidRPr="001E7C51">
        <w:rPr>
          <w:rFonts w:ascii="Times New Roman" w:hAnsi="Times New Roman" w:cs="Times New Roman"/>
        </w:rPr>
        <w:lastRenderedPageBreak/>
        <w:t>участков общетоварных складов установлены согласно приложению "Е" СП 42.13330.2011.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Ручьевское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Ручьевское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Ручьевское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DA148D" w:rsidRPr="001E7C51" w:rsidRDefault="00DA148D" w:rsidP="001E7C51">
      <w:pPr>
        <w:ind w:firstLine="550"/>
        <w:rPr>
          <w:rFonts w:ascii="Times New Roman" w:hAnsi="Times New Roman" w:cs="Times New Roman"/>
          <w:lang w:eastAsia="ru-RU"/>
        </w:rPr>
      </w:pPr>
      <w:r w:rsidRPr="001E7C51">
        <w:rPr>
          <w:rFonts w:ascii="Times New Roman" w:hAnsi="Times New Roman" w:cs="Times New Roman"/>
        </w:rPr>
        <w:br w:type="page"/>
      </w:r>
    </w:p>
    <w:p w:rsidR="00DA148D" w:rsidRPr="001E7C51" w:rsidRDefault="00DA148D" w:rsidP="001E7C51">
      <w:pPr>
        <w:ind w:firstLine="550"/>
        <w:rPr>
          <w:rFonts w:ascii="Times New Roman" w:hAnsi="Times New Roman" w:cs="Times New Roman"/>
        </w:rPr>
        <w:sectPr w:rsidR="00DA148D" w:rsidRPr="001E7C51" w:rsidSect="00A400BB">
          <w:type w:val="continuous"/>
          <w:pgSz w:w="11905" w:h="16838"/>
          <w:pgMar w:top="1134" w:right="990" w:bottom="1134" w:left="1701" w:header="426" w:footer="0" w:gutter="0"/>
          <w:cols w:space="720"/>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DA148D" w:rsidRPr="001E7C51" w:rsidRDefault="00DA148D"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DA148D" w:rsidRPr="001E7C51" w:rsidRDefault="00DA148D" w:rsidP="001E7C51">
      <w:pPr>
        <w:ind w:firstLine="550"/>
        <w:rPr>
          <w:rFonts w:ascii="Times New Roman" w:hAnsi="Times New Roman" w:cs="Times New Roman"/>
        </w:rPr>
      </w:pPr>
      <w:r w:rsidRPr="001E7C51">
        <w:rPr>
          <w:rFonts w:ascii="Times New Roman" w:hAnsi="Times New Roman" w:cs="Times New Roman"/>
        </w:rPr>
        <w:t xml:space="preserve"> </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DA148D" w:rsidRPr="001E7C51" w:rsidRDefault="00DA148D" w:rsidP="001E7C51">
      <w:pPr>
        <w:ind w:firstLine="550"/>
        <w:rPr>
          <w:rFonts w:ascii="Times New Roman" w:hAnsi="Times New Roman" w:cs="Times New Roman"/>
          <w:lang w:eastAsia="ru-RU"/>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ind w:firstLine="550"/>
        <w:rPr>
          <w:rFonts w:ascii="Times New Roman" w:hAnsi="Times New Roman" w:cs="Times New Roman"/>
        </w:rPr>
        <w:sectPr w:rsidR="00DA148D" w:rsidRPr="001E7C51" w:rsidSect="00753CA3">
          <w:type w:val="continuous"/>
          <w:pgSz w:w="11905" w:h="16838"/>
          <w:pgMar w:top="1134" w:right="848" w:bottom="1134" w:left="1701" w:header="0" w:footer="0" w:gutter="0"/>
          <w:cols w:space="720"/>
          <w:docGrid w:linePitch="299"/>
        </w:sectPr>
      </w:pPr>
    </w:p>
    <w:p w:rsidR="00DA148D" w:rsidRPr="001E7C51" w:rsidRDefault="00DA14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DA148D" w:rsidRPr="001E7C51" w:rsidRDefault="00DA14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Ручьевское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DA148D" w:rsidRPr="001E7C51" w:rsidRDefault="00DA148D" w:rsidP="001E7C51">
      <w:pPr>
        <w:pStyle w:val="ConsPlusNormal"/>
        <w:ind w:firstLine="550"/>
        <w:jc w:val="right"/>
        <w:outlineLvl w:val="2"/>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DA148D" w:rsidRPr="001E7C51" w:rsidRDefault="00DA148D" w:rsidP="001E7C51">
      <w:pPr>
        <w:pStyle w:val="ConsPlusNormal"/>
        <w:ind w:firstLine="550"/>
        <w:jc w:val="center"/>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DA148D" w:rsidRPr="001E7C51" w:rsidRDefault="0045252E" w:rsidP="001E7C51">
      <w:pPr>
        <w:pStyle w:val="ConsPlusNormal"/>
        <w:ind w:firstLine="550"/>
        <w:jc w:val="both"/>
        <w:rPr>
          <w:rFonts w:ascii="Times New Roman" w:hAnsi="Times New Roman" w:cs="Times New Roman"/>
        </w:rPr>
      </w:pPr>
      <w:hyperlink r:id="rId65"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DA148D" w:rsidRPr="001E7C51" w:rsidRDefault="0045252E" w:rsidP="001E7C51">
      <w:pPr>
        <w:pStyle w:val="ConsPlusNormal"/>
        <w:ind w:firstLine="550"/>
        <w:jc w:val="both"/>
        <w:rPr>
          <w:rFonts w:ascii="Times New Roman" w:hAnsi="Times New Roman" w:cs="Times New Roman"/>
        </w:rPr>
      </w:pPr>
      <w:hyperlink r:id="rId66"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DA148D" w:rsidRPr="001E7C51" w:rsidRDefault="0045252E" w:rsidP="001E7C51">
      <w:pPr>
        <w:pStyle w:val="ConsPlusNormal"/>
        <w:ind w:firstLine="550"/>
        <w:jc w:val="both"/>
        <w:rPr>
          <w:rFonts w:ascii="Times New Roman" w:hAnsi="Times New Roman" w:cs="Times New Roman"/>
        </w:rPr>
      </w:pPr>
      <w:hyperlink r:id="rId67"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10 ноября 1996 года </w:t>
      </w:r>
      <w:r w:rsidR="00DA148D"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DA148D" w:rsidRPr="001E7C51" w:rsidRDefault="0045252E" w:rsidP="001E7C51">
      <w:pPr>
        <w:pStyle w:val="ConsPlusNormal"/>
        <w:ind w:firstLine="550"/>
        <w:jc w:val="both"/>
        <w:rPr>
          <w:rFonts w:ascii="Times New Roman" w:hAnsi="Times New Roman" w:cs="Times New Roman"/>
        </w:rPr>
      </w:pPr>
      <w:hyperlink r:id="rId68"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29 ноября 1999 года </w:t>
      </w:r>
      <w:r w:rsidR="00DA148D" w:rsidRPr="001E7C51">
        <w:rPr>
          <w:rFonts w:ascii="Times New Roman" w:hAnsi="Times New Roman" w:cs="Times New Roman"/>
        </w:rPr>
        <w:br/>
        <w:t>№ 1309 «О порядке создания убежищ и иных объектов гражданской обороны»;</w:t>
      </w:r>
    </w:p>
    <w:p w:rsidR="00DA148D" w:rsidRPr="001E7C51" w:rsidRDefault="0045252E" w:rsidP="001E7C51">
      <w:pPr>
        <w:pStyle w:val="ConsPlusNormal"/>
        <w:ind w:firstLine="550"/>
        <w:jc w:val="both"/>
        <w:rPr>
          <w:rFonts w:ascii="Times New Roman" w:hAnsi="Times New Roman" w:cs="Times New Roman"/>
        </w:rPr>
      </w:pPr>
      <w:hyperlink r:id="rId69"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DA148D" w:rsidRPr="001E7C51" w:rsidRDefault="0045252E" w:rsidP="001E7C51">
      <w:pPr>
        <w:pStyle w:val="ConsPlusNormal"/>
        <w:ind w:firstLine="550"/>
        <w:jc w:val="both"/>
        <w:rPr>
          <w:rFonts w:ascii="Times New Roman" w:hAnsi="Times New Roman" w:cs="Times New Roman"/>
        </w:rPr>
      </w:pPr>
      <w:hyperlink r:id="rId70"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DA148D" w:rsidRPr="001E7C51" w:rsidRDefault="0045252E" w:rsidP="001E7C51">
      <w:pPr>
        <w:pStyle w:val="ConsPlusNormal"/>
        <w:ind w:firstLine="550"/>
        <w:jc w:val="both"/>
        <w:rPr>
          <w:rFonts w:ascii="Times New Roman" w:hAnsi="Times New Roman" w:cs="Times New Roman"/>
        </w:rPr>
      </w:pPr>
      <w:hyperlink r:id="rId71"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 сентября 2009 года </w:t>
      </w:r>
      <w:r w:rsidR="00DA148D"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DA148D" w:rsidRPr="001E7C51" w:rsidRDefault="0045252E" w:rsidP="001E7C51">
      <w:pPr>
        <w:pStyle w:val="ConsPlusNormal"/>
        <w:ind w:firstLine="550"/>
        <w:jc w:val="both"/>
        <w:rPr>
          <w:rFonts w:ascii="Times New Roman" w:hAnsi="Times New Roman" w:cs="Times New Roman"/>
        </w:rPr>
      </w:pPr>
      <w:hyperlink r:id="rId72"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29 октября 2009 года </w:t>
      </w:r>
      <w:r w:rsidR="00DA148D"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DA148D" w:rsidRPr="001E7C51" w:rsidRDefault="0045252E" w:rsidP="001E7C51">
      <w:pPr>
        <w:pStyle w:val="ConsPlusNormal"/>
        <w:ind w:firstLine="550"/>
        <w:jc w:val="both"/>
        <w:rPr>
          <w:rFonts w:ascii="Times New Roman" w:hAnsi="Times New Roman" w:cs="Times New Roman"/>
        </w:rPr>
      </w:pPr>
      <w:hyperlink r:id="rId73"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DA148D" w:rsidRPr="001E7C51" w:rsidRDefault="0045252E" w:rsidP="001E7C51">
      <w:pPr>
        <w:pStyle w:val="ConsPlusNormal"/>
        <w:ind w:firstLine="550"/>
        <w:jc w:val="both"/>
        <w:rPr>
          <w:rFonts w:ascii="Times New Roman" w:hAnsi="Times New Roman" w:cs="Times New Roman"/>
        </w:rPr>
      </w:pPr>
      <w:hyperlink r:id="rId74"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18 ноября 2013 года </w:t>
      </w:r>
      <w:r w:rsidR="00DA148D"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A148D" w:rsidRPr="001E7C51" w:rsidRDefault="0045252E" w:rsidP="001E7C51">
      <w:pPr>
        <w:pStyle w:val="ConsPlusNormal"/>
        <w:ind w:firstLine="550"/>
        <w:jc w:val="both"/>
        <w:rPr>
          <w:rFonts w:ascii="Times New Roman" w:hAnsi="Times New Roman" w:cs="Times New Roman"/>
        </w:rPr>
      </w:pPr>
      <w:hyperlink r:id="rId75"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DA148D" w:rsidRPr="001E7C51" w:rsidRDefault="0045252E" w:rsidP="001E7C51">
      <w:pPr>
        <w:pStyle w:val="ConsPlusNormal"/>
        <w:ind w:firstLine="550"/>
        <w:jc w:val="both"/>
        <w:rPr>
          <w:rFonts w:ascii="Times New Roman" w:hAnsi="Times New Roman" w:cs="Times New Roman"/>
        </w:rPr>
      </w:pPr>
      <w:hyperlink r:id="rId76"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DA148D" w:rsidRPr="001E7C51" w:rsidRDefault="0045252E" w:rsidP="001E7C51">
      <w:pPr>
        <w:pStyle w:val="ConsPlusNormal"/>
        <w:ind w:firstLine="550"/>
        <w:jc w:val="both"/>
        <w:rPr>
          <w:rFonts w:ascii="Times New Roman" w:hAnsi="Times New Roman" w:cs="Times New Roman"/>
        </w:rPr>
      </w:pPr>
      <w:hyperlink r:id="rId77"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DA148D" w:rsidRPr="001E7C51" w:rsidRDefault="0045252E" w:rsidP="001E7C51">
      <w:pPr>
        <w:pStyle w:val="ConsPlusNormal"/>
        <w:ind w:firstLine="550"/>
        <w:jc w:val="both"/>
        <w:rPr>
          <w:rFonts w:ascii="Times New Roman" w:hAnsi="Times New Roman" w:cs="Times New Roman"/>
        </w:rPr>
      </w:pPr>
      <w:hyperlink r:id="rId78"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3 июля 1996 года </w:t>
      </w:r>
      <w:r w:rsidR="00DA148D" w:rsidRPr="001E7C51">
        <w:rPr>
          <w:rFonts w:ascii="Times New Roman" w:hAnsi="Times New Roman" w:cs="Times New Roman"/>
        </w:rPr>
        <w:br/>
        <w:t>№ 1063-р;</w:t>
      </w:r>
    </w:p>
    <w:p w:rsidR="00DA148D" w:rsidRPr="001E7C51" w:rsidRDefault="0045252E" w:rsidP="001E7C51">
      <w:pPr>
        <w:pStyle w:val="ConsPlusNormal"/>
        <w:ind w:firstLine="550"/>
        <w:jc w:val="both"/>
        <w:rPr>
          <w:rFonts w:ascii="Times New Roman" w:hAnsi="Times New Roman" w:cs="Times New Roman"/>
        </w:rPr>
      </w:pPr>
      <w:hyperlink r:id="rId79"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25 мая 2004 года № 707-р;</w:t>
      </w:r>
    </w:p>
    <w:p w:rsidR="00DA148D" w:rsidRPr="001E7C51" w:rsidRDefault="0045252E" w:rsidP="001E7C51">
      <w:pPr>
        <w:pStyle w:val="ConsPlusNormal"/>
        <w:ind w:firstLine="550"/>
        <w:jc w:val="both"/>
        <w:rPr>
          <w:rFonts w:ascii="Times New Roman" w:hAnsi="Times New Roman" w:cs="Times New Roman"/>
        </w:rPr>
      </w:pPr>
      <w:hyperlink r:id="rId80"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10 августа 2007 года № 1034-р;</w:t>
      </w:r>
    </w:p>
    <w:p w:rsidR="00DA148D" w:rsidRPr="001E7C51" w:rsidRDefault="0045252E" w:rsidP="001E7C51">
      <w:pPr>
        <w:pStyle w:val="ConsPlusNormal"/>
        <w:ind w:firstLine="550"/>
        <w:jc w:val="both"/>
        <w:rPr>
          <w:rFonts w:ascii="Times New Roman" w:hAnsi="Times New Roman" w:cs="Times New Roman"/>
        </w:rPr>
      </w:pPr>
      <w:hyperlink r:id="rId81"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18 ноября 2011 года </w:t>
      </w:r>
      <w:r w:rsidR="00DA148D" w:rsidRPr="001E7C51">
        <w:rPr>
          <w:rFonts w:ascii="Times New Roman" w:hAnsi="Times New Roman" w:cs="Times New Roman"/>
        </w:rPr>
        <w:br/>
        <w:t>№ 2074-р;</w:t>
      </w:r>
    </w:p>
    <w:p w:rsidR="00DA148D" w:rsidRPr="001E7C51" w:rsidRDefault="0045252E" w:rsidP="001E7C51">
      <w:pPr>
        <w:pStyle w:val="ConsPlusNormal"/>
        <w:ind w:firstLine="550"/>
        <w:jc w:val="both"/>
        <w:rPr>
          <w:rFonts w:ascii="Times New Roman" w:hAnsi="Times New Roman" w:cs="Times New Roman"/>
        </w:rPr>
      </w:pPr>
      <w:hyperlink r:id="rId82"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DA148D"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A148D" w:rsidRPr="001E7C51" w:rsidRDefault="0045252E" w:rsidP="001E7C51">
      <w:pPr>
        <w:pStyle w:val="ConsPlusNormal"/>
        <w:ind w:firstLine="550"/>
        <w:jc w:val="both"/>
        <w:rPr>
          <w:rFonts w:ascii="Times New Roman" w:hAnsi="Times New Roman" w:cs="Times New Roman"/>
        </w:rPr>
      </w:pPr>
      <w:hyperlink r:id="rId83"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Правительства Российской Федерации от 29 июля 2014 года № 1398-р;</w:t>
      </w:r>
    </w:p>
    <w:p w:rsidR="00DA148D" w:rsidRPr="001E7C51" w:rsidRDefault="0045252E" w:rsidP="001E7C51">
      <w:pPr>
        <w:pStyle w:val="ConsPlusNormal"/>
        <w:ind w:firstLine="550"/>
        <w:jc w:val="both"/>
        <w:rPr>
          <w:rFonts w:ascii="Times New Roman" w:hAnsi="Times New Roman" w:cs="Times New Roman"/>
        </w:rPr>
      </w:pPr>
      <w:hyperlink r:id="rId84" w:history="1">
        <w:r w:rsidR="00DA148D" w:rsidRPr="001E7C51">
          <w:rPr>
            <w:rFonts w:ascii="Times New Roman" w:hAnsi="Times New Roman" w:cs="Times New Roman"/>
          </w:rPr>
          <w:t>Ветеринарно-санитарные правила</w:t>
        </w:r>
      </w:hyperlink>
      <w:r w:rsidR="00DA148D"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DA148D" w:rsidRPr="001E7C51" w:rsidRDefault="0045252E" w:rsidP="001E7C51">
      <w:pPr>
        <w:pStyle w:val="ConsPlusNormal"/>
        <w:ind w:firstLine="550"/>
        <w:jc w:val="both"/>
        <w:rPr>
          <w:rFonts w:ascii="Times New Roman" w:hAnsi="Times New Roman" w:cs="Times New Roman"/>
        </w:rPr>
      </w:pPr>
      <w:hyperlink r:id="rId85"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DA148D" w:rsidRPr="001E7C51">
        <w:rPr>
          <w:rFonts w:ascii="Times New Roman" w:hAnsi="Times New Roman" w:cs="Times New Roman"/>
        </w:rPr>
        <w:lastRenderedPageBreak/>
        <w:t>железных дорог, а также норм расчета охранных зон железных дорог»;</w:t>
      </w:r>
    </w:p>
    <w:p w:rsidR="00DA148D" w:rsidRPr="001E7C51" w:rsidRDefault="0045252E" w:rsidP="001E7C51">
      <w:pPr>
        <w:pStyle w:val="ConsPlusNormal"/>
        <w:ind w:firstLine="550"/>
        <w:jc w:val="both"/>
        <w:rPr>
          <w:rFonts w:ascii="Times New Roman" w:hAnsi="Times New Roman" w:cs="Times New Roman"/>
        </w:rPr>
      </w:pPr>
      <w:hyperlink r:id="rId86"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DA148D" w:rsidRPr="001E7C51" w:rsidRDefault="0045252E" w:rsidP="001E7C51">
      <w:pPr>
        <w:pStyle w:val="ConsPlusNormal"/>
        <w:ind w:firstLine="550"/>
        <w:jc w:val="both"/>
        <w:rPr>
          <w:rFonts w:ascii="Times New Roman" w:hAnsi="Times New Roman" w:cs="Times New Roman"/>
        </w:rPr>
      </w:pPr>
      <w:hyperlink r:id="rId87"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DA148D" w:rsidRPr="001E7C51" w:rsidRDefault="0045252E" w:rsidP="001E7C51">
      <w:pPr>
        <w:pStyle w:val="ConsPlusNormal"/>
        <w:ind w:firstLine="550"/>
        <w:jc w:val="both"/>
        <w:rPr>
          <w:rFonts w:ascii="Times New Roman" w:hAnsi="Times New Roman" w:cs="Times New Roman"/>
        </w:rPr>
      </w:pPr>
      <w:hyperlink r:id="rId88"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DA148D" w:rsidRPr="001E7C51" w:rsidRDefault="0045252E" w:rsidP="001E7C51">
      <w:pPr>
        <w:pStyle w:val="ConsPlusNormal"/>
        <w:ind w:firstLine="550"/>
        <w:jc w:val="both"/>
        <w:rPr>
          <w:rFonts w:ascii="Times New Roman" w:hAnsi="Times New Roman" w:cs="Times New Roman"/>
        </w:rPr>
      </w:pPr>
      <w:hyperlink r:id="rId89"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48D" w:rsidRPr="001E7C51" w:rsidRDefault="0045252E" w:rsidP="001E7C51">
      <w:pPr>
        <w:pStyle w:val="ConsPlusNormal"/>
        <w:ind w:firstLine="550"/>
        <w:jc w:val="both"/>
        <w:rPr>
          <w:rFonts w:ascii="Times New Roman" w:hAnsi="Times New Roman" w:cs="Times New Roman"/>
        </w:rPr>
      </w:pPr>
      <w:hyperlink r:id="rId90"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DA148D" w:rsidRPr="001E7C51" w:rsidRDefault="0045252E" w:rsidP="001E7C51">
      <w:pPr>
        <w:pStyle w:val="ConsPlusNormal"/>
        <w:ind w:firstLine="550"/>
        <w:jc w:val="both"/>
        <w:rPr>
          <w:rFonts w:ascii="Times New Roman" w:hAnsi="Times New Roman" w:cs="Times New Roman"/>
        </w:rPr>
      </w:pPr>
      <w:hyperlink r:id="rId91"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w:t>
      </w:r>
      <w:r w:rsidR="00DA148D"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DA148D" w:rsidRPr="001E7C51" w:rsidRDefault="0045252E" w:rsidP="001E7C51">
      <w:pPr>
        <w:pStyle w:val="ConsPlusNormal"/>
        <w:ind w:firstLine="550"/>
        <w:jc w:val="both"/>
        <w:rPr>
          <w:rFonts w:ascii="Times New Roman" w:hAnsi="Times New Roman" w:cs="Times New Roman"/>
        </w:rPr>
      </w:pPr>
      <w:hyperlink r:id="rId92"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DA148D" w:rsidRPr="001E7C51" w:rsidRDefault="0045252E" w:rsidP="001E7C51">
      <w:pPr>
        <w:pStyle w:val="ConsPlusNormal"/>
        <w:ind w:firstLine="550"/>
        <w:jc w:val="both"/>
        <w:rPr>
          <w:rFonts w:ascii="Times New Roman" w:hAnsi="Times New Roman" w:cs="Times New Roman"/>
        </w:rPr>
      </w:pPr>
      <w:hyperlink r:id="rId93"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DA148D" w:rsidRPr="001E7C51" w:rsidRDefault="0045252E" w:rsidP="001E7C51">
      <w:pPr>
        <w:pStyle w:val="ConsPlusNormal"/>
        <w:ind w:firstLine="550"/>
        <w:jc w:val="both"/>
        <w:rPr>
          <w:rFonts w:ascii="Times New Roman" w:hAnsi="Times New Roman" w:cs="Times New Roman"/>
        </w:rPr>
      </w:pPr>
      <w:hyperlink r:id="rId94" w:history="1">
        <w:r w:rsidR="00DA148D" w:rsidRPr="001E7C51">
          <w:rPr>
            <w:rFonts w:ascii="Times New Roman" w:hAnsi="Times New Roman" w:cs="Times New Roman"/>
          </w:rPr>
          <w:t>приказ</w:t>
        </w:r>
      </w:hyperlink>
      <w:r w:rsidR="00DA148D"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DA148D" w:rsidRPr="001E7C51">
          <w:rPr>
            <w:rFonts w:ascii="Times New Roman" w:hAnsi="Times New Roman" w:cs="Times New Roman"/>
          </w:rPr>
          <w:t>указ</w:t>
        </w:r>
      </w:hyperlink>
      <w:r w:rsidR="00DA148D"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DA148D" w:rsidRPr="001E7C51">
          <w:rPr>
            <w:rFonts w:ascii="Times New Roman" w:hAnsi="Times New Roman" w:cs="Times New Roman"/>
          </w:rPr>
          <w:t>постановление</w:t>
        </w:r>
      </w:hyperlink>
      <w:r w:rsidR="00DA148D"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DA148D" w:rsidRPr="001E7C51" w:rsidRDefault="0045252E"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DA148D" w:rsidRPr="001E7C51">
          <w:rPr>
            <w:rFonts w:ascii="Times New Roman" w:hAnsi="Times New Roman" w:cs="Times New Roman"/>
          </w:rPr>
          <w:t>распоряжение</w:t>
        </w:r>
      </w:hyperlink>
      <w:r w:rsidR="00DA148D"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DA148D" w:rsidRPr="001E7C51" w:rsidRDefault="00DA14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DA148D" w:rsidRPr="001E7C51" w:rsidRDefault="00DA148D" w:rsidP="001E7C51">
      <w:pPr>
        <w:pStyle w:val="ConsPlusNormal"/>
        <w:ind w:firstLine="550"/>
        <w:jc w:val="both"/>
        <w:rPr>
          <w:rFonts w:ascii="Times New Roman" w:hAnsi="Times New Roman" w:cs="Times New Roman"/>
        </w:rPr>
      </w:pPr>
    </w:p>
    <w:p w:rsidR="00DA148D" w:rsidRPr="00A90EFF" w:rsidRDefault="00DA148D"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Ручьевское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DA148D" w:rsidRPr="00A90EFF" w:rsidRDefault="00DA148D" w:rsidP="001E7C51">
      <w:pPr>
        <w:autoSpaceDE w:val="0"/>
        <w:autoSpaceDN w:val="0"/>
        <w:adjustRightInd w:val="0"/>
        <w:spacing w:after="0" w:line="240" w:lineRule="auto"/>
        <w:ind w:firstLine="550"/>
        <w:jc w:val="both"/>
        <w:rPr>
          <w:rFonts w:ascii="Times New Roman" w:hAnsi="Times New Roman" w:cs="Times New Roman"/>
        </w:rPr>
      </w:pPr>
    </w:p>
    <w:p w:rsidR="00DA148D" w:rsidRPr="000E218C" w:rsidRDefault="0045252E" w:rsidP="001E7C51">
      <w:pPr>
        <w:pStyle w:val="1"/>
        <w:ind w:firstLine="550"/>
        <w:jc w:val="both"/>
        <w:rPr>
          <w:sz w:val="22"/>
          <w:szCs w:val="22"/>
        </w:rPr>
      </w:pPr>
      <w:hyperlink r:id="rId111" w:history="1">
        <w:r w:rsidR="00DA148D" w:rsidRPr="00A90EFF">
          <w:rPr>
            <w:sz w:val="22"/>
            <w:szCs w:val="22"/>
          </w:rPr>
          <w:t>Устав</w:t>
        </w:r>
      </w:hyperlink>
      <w:r w:rsidR="00DA148D" w:rsidRPr="00A90EFF">
        <w:rPr>
          <w:sz w:val="22"/>
          <w:szCs w:val="22"/>
        </w:rPr>
        <w:t xml:space="preserve"> муниципального образования «Мезенский муниципальный</w:t>
      </w:r>
      <w:r w:rsidR="00DA148D" w:rsidRPr="001E7C51">
        <w:rPr>
          <w:sz w:val="22"/>
          <w:szCs w:val="22"/>
        </w:rPr>
        <w:t xml:space="preserve"> район» Архангельской области, </w:t>
      </w:r>
      <w:r w:rsidR="00DA148D"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DA148D" w:rsidRPr="0084416F" w:rsidRDefault="0045252E" w:rsidP="00B826A6">
      <w:pPr>
        <w:widowControl w:val="0"/>
        <w:tabs>
          <w:tab w:val="left" w:pos="142"/>
        </w:tabs>
        <w:spacing w:after="0"/>
        <w:ind w:firstLine="550"/>
        <w:jc w:val="both"/>
        <w:outlineLvl w:val="2"/>
        <w:rPr>
          <w:rFonts w:ascii="Times New Roman" w:hAnsi="Times New Roman" w:cs="Times New Roman"/>
          <w:bCs/>
        </w:rPr>
      </w:pPr>
      <w:hyperlink r:id="rId112" w:history="1">
        <w:r w:rsidR="00DA148D" w:rsidRPr="000E218C">
          <w:rPr>
            <w:rFonts w:ascii="Times New Roman" w:hAnsi="Times New Roman" w:cs="Times New Roman"/>
          </w:rPr>
          <w:t>Устав</w:t>
        </w:r>
      </w:hyperlink>
      <w:r w:rsidR="00DA148D" w:rsidRPr="000E218C">
        <w:rPr>
          <w:rFonts w:ascii="Times New Roman" w:hAnsi="Times New Roman" w:cs="Times New Roman"/>
        </w:rPr>
        <w:t xml:space="preserve"> муниципального образования «</w:t>
      </w:r>
      <w:r w:rsidR="00DA148D">
        <w:rPr>
          <w:rFonts w:ascii="Times New Roman" w:hAnsi="Times New Roman" w:cs="Times New Roman"/>
        </w:rPr>
        <w:t>Ручьевское</w:t>
      </w:r>
      <w:r w:rsidR="00DA148D" w:rsidRPr="000E218C">
        <w:rPr>
          <w:rFonts w:ascii="Times New Roman" w:hAnsi="Times New Roman" w:cs="Times New Roman"/>
        </w:rPr>
        <w:t xml:space="preserve">» </w:t>
      </w:r>
      <w:r w:rsidR="00DA148D" w:rsidRPr="0084416F">
        <w:rPr>
          <w:rFonts w:ascii="Times New Roman" w:hAnsi="Times New Roman" w:cs="Times New Roman"/>
        </w:rPr>
        <w:t xml:space="preserve">Мезенского района Архангельской области, </w:t>
      </w:r>
      <w:r w:rsidR="00DA148D" w:rsidRPr="0084416F">
        <w:rPr>
          <w:rFonts w:ascii="Times New Roman" w:hAnsi="Times New Roman" w:cs="Times New Roman"/>
          <w:bCs/>
        </w:rPr>
        <w:t>принят решением Совета депутатов муниципального образования «</w:t>
      </w:r>
      <w:r w:rsidR="00DA148D" w:rsidRPr="0084416F">
        <w:rPr>
          <w:rFonts w:ascii="Times New Roman" w:hAnsi="Times New Roman" w:cs="Times New Roman"/>
        </w:rPr>
        <w:t>Ручьевское</w:t>
      </w:r>
      <w:r w:rsidR="00DA148D" w:rsidRPr="0084416F">
        <w:rPr>
          <w:rFonts w:ascii="Times New Roman" w:hAnsi="Times New Roman" w:cs="Times New Roman"/>
          <w:bCs/>
        </w:rPr>
        <w:t xml:space="preserve">» № 36 от 09.12.2013 года; </w:t>
      </w:r>
    </w:p>
    <w:p w:rsidR="00DA148D" w:rsidRPr="00CD4A23" w:rsidRDefault="00DA148D" w:rsidP="00B826A6">
      <w:pPr>
        <w:spacing w:after="0" w:line="240" w:lineRule="auto"/>
        <w:ind w:firstLine="550"/>
        <w:jc w:val="both"/>
        <w:rPr>
          <w:rFonts w:ascii="Times New Roman" w:hAnsi="Times New Roman" w:cs="Times New Roman"/>
        </w:rPr>
      </w:pPr>
      <w:r w:rsidRPr="0084416F">
        <w:rPr>
          <w:rFonts w:ascii="Times New Roman" w:hAnsi="Times New Roman" w:cs="Times New Roman"/>
        </w:rPr>
        <w:t>Постановление главы администрации муниципального образования</w:t>
      </w:r>
      <w:r w:rsidRPr="000E218C">
        <w:rPr>
          <w:rFonts w:ascii="Times New Roman" w:hAnsi="Times New Roman" w:cs="Times New Roman"/>
        </w:rPr>
        <w:t xml:space="preserve">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DA148D" w:rsidRPr="001E7C51" w:rsidRDefault="00DA148D" w:rsidP="002B268A">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DA148D" w:rsidRPr="00CD4A23" w:rsidRDefault="00DA148D" w:rsidP="00DD70AC">
      <w:pPr>
        <w:spacing w:after="0" w:line="240" w:lineRule="auto"/>
        <w:ind w:firstLine="550"/>
        <w:jc w:val="both"/>
        <w:rPr>
          <w:rFonts w:ascii="Times New Roman" w:hAnsi="Times New Roman" w:cs="Times New Roman"/>
        </w:rPr>
      </w:pPr>
    </w:p>
    <w:p w:rsidR="00DA148D" w:rsidRPr="00CD4A23" w:rsidRDefault="00DA148D"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DA148D" w:rsidRPr="00CD4A23" w:rsidRDefault="00DA148D" w:rsidP="001E7C51">
      <w:pPr>
        <w:pStyle w:val="ConsPlusNormal"/>
        <w:ind w:firstLine="550"/>
        <w:jc w:val="both"/>
        <w:rPr>
          <w:rFonts w:ascii="Times New Roman" w:hAnsi="Times New Roman" w:cs="Times New Roman"/>
        </w:rPr>
      </w:pP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DA148D" w:rsidRPr="00CD4A23"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DA148D" w:rsidRPr="001E7C51" w:rsidRDefault="00DA148D"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DA148D" w:rsidRPr="001E7C51" w:rsidRDefault="0045252E" w:rsidP="001E7C51">
      <w:pPr>
        <w:pStyle w:val="ConsPlusNormal"/>
        <w:ind w:firstLine="550"/>
        <w:jc w:val="both"/>
        <w:rPr>
          <w:rFonts w:ascii="Times New Roman" w:hAnsi="Times New Roman" w:cs="Times New Roman"/>
        </w:rPr>
      </w:pPr>
      <w:hyperlink r:id="rId113"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148D" w:rsidRPr="001E7C51" w:rsidRDefault="0045252E" w:rsidP="001E7C51">
      <w:pPr>
        <w:pStyle w:val="ConsPlusNormal"/>
        <w:ind w:firstLine="550"/>
        <w:jc w:val="both"/>
        <w:rPr>
          <w:rFonts w:ascii="Times New Roman" w:hAnsi="Times New Roman" w:cs="Times New Roman"/>
        </w:rPr>
      </w:pPr>
      <w:hyperlink r:id="rId114"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DA148D" w:rsidRPr="001E7C51" w:rsidRDefault="0045252E" w:rsidP="001E7C51">
      <w:pPr>
        <w:pStyle w:val="ConsPlusNormal"/>
        <w:ind w:firstLine="550"/>
        <w:jc w:val="both"/>
        <w:rPr>
          <w:rFonts w:ascii="Times New Roman" w:hAnsi="Times New Roman" w:cs="Times New Roman"/>
        </w:rPr>
      </w:pPr>
      <w:hyperlink r:id="rId115" w:history="1">
        <w:r w:rsidR="00DA148D" w:rsidRPr="001E7C51">
          <w:rPr>
            <w:rFonts w:ascii="Times New Roman" w:hAnsi="Times New Roman" w:cs="Times New Roman"/>
          </w:rPr>
          <w:t>СанПиН</w:t>
        </w:r>
      </w:hyperlink>
      <w:r w:rsidR="00DA148D"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DA148D" w:rsidRPr="001E7C51" w:rsidRDefault="00DA14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pStyle w:val="ConsPlusNormal"/>
        <w:ind w:firstLine="550"/>
        <w:jc w:val="both"/>
        <w:rPr>
          <w:rFonts w:ascii="Times New Roman" w:hAnsi="Times New Roman" w:cs="Times New Roman"/>
        </w:rPr>
      </w:pPr>
    </w:p>
    <w:p w:rsidR="00DA148D" w:rsidRPr="001E7C51" w:rsidRDefault="00DA148D" w:rsidP="001E7C51">
      <w:pPr>
        <w:ind w:firstLine="550"/>
        <w:rPr>
          <w:rFonts w:ascii="Times New Roman" w:hAnsi="Times New Roman" w:cs="Times New Roman"/>
        </w:rPr>
      </w:pPr>
    </w:p>
    <w:sectPr w:rsidR="00DA148D"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71D" w:rsidRDefault="00DF771D" w:rsidP="006C3DBF">
      <w:pPr>
        <w:spacing w:after="0" w:line="240" w:lineRule="auto"/>
      </w:pPr>
      <w:r>
        <w:separator/>
      </w:r>
    </w:p>
  </w:endnote>
  <w:endnote w:type="continuationSeparator" w:id="0">
    <w:p w:rsidR="00DF771D" w:rsidRDefault="00DF771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71D" w:rsidRDefault="00DF771D" w:rsidP="006C3DBF">
      <w:pPr>
        <w:spacing w:after="0" w:line="240" w:lineRule="auto"/>
      </w:pPr>
      <w:r>
        <w:separator/>
      </w:r>
    </w:p>
  </w:footnote>
  <w:footnote w:type="continuationSeparator" w:id="0">
    <w:p w:rsidR="00DF771D" w:rsidRDefault="00DF771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8D" w:rsidRDefault="0045252E">
    <w:pPr>
      <w:pStyle w:val="a7"/>
      <w:jc w:val="center"/>
    </w:pPr>
    <w:fldSimple w:instr=" PAGE   \* MERGEFORMAT ">
      <w:r w:rsidR="007552BC">
        <w:rPr>
          <w:noProof/>
        </w:rPr>
        <w:t>1</w:t>
      </w:r>
    </w:fldSimple>
  </w:p>
  <w:p w:rsidR="00DA148D" w:rsidRDefault="00DA14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07EF5"/>
    <w:rsid w:val="000115D2"/>
    <w:rsid w:val="00016926"/>
    <w:rsid w:val="000170CA"/>
    <w:rsid w:val="00026582"/>
    <w:rsid w:val="00030AC4"/>
    <w:rsid w:val="00035457"/>
    <w:rsid w:val="0004064F"/>
    <w:rsid w:val="00045569"/>
    <w:rsid w:val="00055BD1"/>
    <w:rsid w:val="000560C5"/>
    <w:rsid w:val="00056D8F"/>
    <w:rsid w:val="00057CDD"/>
    <w:rsid w:val="0006053C"/>
    <w:rsid w:val="00063988"/>
    <w:rsid w:val="00065973"/>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152C6"/>
    <w:rsid w:val="00120750"/>
    <w:rsid w:val="0013236D"/>
    <w:rsid w:val="001379CF"/>
    <w:rsid w:val="00140C35"/>
    <w:rsid w:val="0014110E"/>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0B4A"/>
    <w:rsid w:val="002171C5"/>
    <w:rsid w:val="00227739"/>
    <w:rsid w:val="00235A0D"/>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B268A"/>
    <w:rsid w:val="002C6F31"/>
    <w:rsid w:val="002D01A4"/>
    <w:rsid w:val="002E1693"/>
    <w:rsid w:val="002E5A5C"/>
    <w:rsid w:val="002F34A3"/>
    <w:rsid w:val="002F3859"/>
    <w:rsid w:val="002F75EF"/>
    <w:rsid w:val="00310D53"/>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6515"/>
    <w:rsid w:val="003970D3"/>
    <w:rsid w:val="003A319D"/>
    <w:rsid w:val="003A6171"/>
    <w:rsid w:val="003B01FE"/>
    <w:rsid w:val="003B0B8A"/>
    <w:rsid w:val="003B4A0E"/>
    <w:rsid w:val="003C014C"/>
    <w:rsid w:val="003D1F87"/>
    <w:rsid w:val="003D27E6"/>
    <w:rsid w:val="003D334C"/>
    <w:rsid w:val="003E5785"/>
    <w:rsid w:val="003F02A1"/>
    <w:rsid w:val="004031B2"/>
    <w:rsid w:val="004070A1"/>
    <w:rsid w:val="00415EDB"/>
    <w:rsid w:val="00417BDC"/>
    <w:rsid w:val="0042071E"/>
    <w:rsid w:val="00424A24"/>
    <w:rsid w:val="0042783C"/>
    <w:rsid w:val="0044712F"/>
    <w:rsid w:val="004518BF"/>
    <w:rsid w:val="0045252E"/>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6F2B"/>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24EE"/>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552BC"/>
    <w:rsid w:val="007636FC"/>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7F7697"/>
    <w:rsid w:val="00804F29"/>
    <w:rsid w:val="008272E7"/>
    <w:rsid w:val="0083312A"/>
    <w:rsid w:val="0084416F"/>
    <w:rsid w:val="00862DB8"/>
    <w:rsid w:val="00873497"/>
    <w:rsid w:val="00877D31"/>
    <w:rsid w:val="0088312F"/>
    <w:rsid w:val="00887EAE"/>
    <w:rsid w:val="00890F84"/>
    <w:rsid w:val="00893773"/>
    <w:rsid w:val="008B52AE"/>
    <w:rsid w:val="008B533C"/>
    <w:rsid w:val="008C0994"/>
    <w:rsid w:val="008C1AC0"/>
    <w:rsid w:val="008C7D9D"/>
    <w:rsid w:val="008D17AC"/>
    <w:rsid w:val="008E0496"/>
    <w:rsid w:val="008F1A02"/>
    <w:rsid w:val="008F4F7F"/>
    <w:rsid w:val="008F551F"/>
    <w:rsid w:val="008F79E7"/>
    <w:rsid w:val="008F7FE2"/>
    <w:rsid w:val="00907A3E"/>
    <w:rsid w:val="00921030"/>
    <w:rsid w:val="00923FA8"/>
    <w:rsid w:val="0092718D"/>
    <w:rsid w:val="00927557"/>
    <w:rsid w:val="00931C14"/>
    <w:rsid w:val="00934EA4"/>
    <w:rsid w:val="00937C48"/>
    <w:rsid w:val="00943535"/>
    <w:rsid w:val="009510BC"/>
    <w:rsid w:val="00951EB3"/>
    <w:rsid w:val="00955E4E"/>
    <w:rsid w:val="00956D52"/>
    <w:rsid w:val="00960EC2"/>
    <w:rsid w:val="009844FC"/>
    <w:rsid w:val="00993CEB"/>
    <w:rsid w:val="009966B1"/>
    <w:rsid w:val="009A10D1"/>
    <w:rsid w:val="009A4C42"/>
    <w:rsid w:val="009B4B69"/>
    <w:rsid w:val="009B7C62"/>
    <w:rsid w:val="009C1139"/>
    <w:rsid w:val="009C3CAB"/>
    <w:rsid w:val="009F3B87"/>
    <w:rsid w:val="00A00188"/>
    <w:rsid w:val="00A00508"/>
    <w:rsid w:val="00A01FBE"/>
    <w:rsid w:val="00A03FDA"/>
    <w:rsid w:val="00A143EC"/>
    <w:rsid w:val="00A17EB6"/>
    <w:rsid w:val="00A203EF"/>
    <w:rsid w:val="00A30D61"/>
    <w:rsid w:val="00A3292D"/>
    <w:rsid w:val="00A3323A"/>
    <w:rsid w:val="00A400BB"/>
    <w:rsid w:val="00A43EAE"/>
    <w:rsid w:val="00A620AA"/>
    <w:rsid w:val="00A7680A"/>
    <w:rsid w:val="00A87537"/>
    <w:rsid w:val="00A87AED"/>
    <w:rsid w:val="00A90EFF"/>
    <w:rsid w:val="00A92AA0"/>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777E0"/>
    <w:rsid w:val="00B826A6"/>
    <w:rsid w:val="00B82728"/>
    <w:rsid w:val="00B936CC"/>
    <w:rsid w:val="00B96BEB"/>
    <w:rsid w:val="00BB7584"/>
    <w:rsid w:val="00BC60BB"/>
    <w:rsid w:val="00BF35DC"/>
    <w:rsid w:val="00C04524"/>
    <w:rsid w:val="00C128AB"/>
    <w:rsid w:val="00C13DF0"/>
    <w:rsid w:val="00C204B6"/>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B5ED6"/>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148D"/>
    <w:rsid w:val="00DA415A"/>
    <w:rsid w:val="00DA4329"/>
    <w:rsid w:val="00DB066E"/>
    <w:rsid w:val="00DB24EA"/>
    <w:rsid w:val="00DC24A5"/>
    <w:rsid w:val="00DD07FB"/>
    <w:rsid w:val="00DD54D1"/>
    <w:rsid w:val="00DD70AC"/>
    <w:rsid w:val="00DE3F89"/>
    <w:rsid w:val="00DF771D"/>
    <w:rsid w:val="00E40722"/>
    <w:rsid w:val="00E415D3"/>
    <w:rsid w:val="00E47F70"/>
    <w:rsid w:val="00E5413B"/>
    <w:rsid w:val="00E54A4A"/>
    <w:rsid w:val="00E54FB6"/>
    <w:rsid w:val="00E61B9B"/>
    <w:rsid w:val="00E678B9"/>
    <w:rsid w:val="00E73747"/>
    <w:rsid w:val="00E7589F"/>
    <w:rsid w:val="00E9289C"/>
    <w:rsid w:val="00E943F4"/>
    <w:rsid w:val="00E945C4"/>
    <w:rsid w:val="00E97821"/>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70437">
      <w:marLeft w:val="0"/>
      <w:marRight w:val="0"/>
      <w:marTop w:val="0"/>
      <w:marBottom w:val="0"/>
      <w:divBdr>
        <w:top w:val="none" w:sz="0" w:space="0" w:color="auto"/>
        <w:left w:val="none" w:sz="0" w:space="0" w:color="auto"/>
        <w:bottom w:val="none" w:sz="0" w:space="0" w:color="auto"/>
        <w:right w:val="none" w:sz="0" w:space="0" w:color="auto"/>
      </w:divBdr>
    </w:div>
    <w:div w:id="104270439">
      <w:marLeft w:val="0"/>
      <w:marRight w:val="0"/>
      <w:marTop w:val="0"/>
      <w:marBottom w:val="0"/>
      <w:divBdr>
        <w:top w:val="none" w:sz="0" w:space="0" w:color="auto"/>
        <w:left w:val="none" w:sz="0" w:space="0" w:color="auto"/>
        <w:bottom w:val="none" w:sz="0" w:space="0" w:color="auto"/>
        <w:right w:val="none" w:sz="0" w:space="0" w:color="auto"/>
      </w:divBdr>
      <w:divsChild>
        <w:div w:id="10427043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33</Pages>
  <Words>13828</Words>
  <Characters>78822</Characters>
  <Application>Microsoft Office Word</Application>
  <DocSecurity>0</DocSecurity>
  <Lines>656</Lines>
  <Paragraphs>184</Paragraphs>
  <ScaleCrop>false</ScaleCrop>
  <Company>Home</Company>
  <LinksUpToDate>false</LinksUpToDate>
  <CharactersWithSpaces>92466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120</cp:revision>
  <cp:lastPrinted>2017-08-09T09:30:00Z</cp:lastPrinted>
  <dcterms:created xsi:type="dcterms:W3CDTF">2017-08-09T09:30:00Z</dcterms:created>
  <dcterms:modified xsi:type="dcterms:W3CDTF">2017-12-12T13:48:00Z</dcterms:modified>
</cp:coreProperties>
</file>