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9E" w:rsidRPr="00325DE3" w:rsidRDefault="00831CDC" w:rsidP="00953A78">
      <w:pPr>
        <w:widowControl w:val="0"/>
        <w:autoSpaceDE w:val="0"/>
        <w:autoSpaceDN w:val="0"/>
        <w:adjustRightInd w:val="0"/>
        <w:spacing w:after="0" w:line="240" w:lineRule="auto"/>
        <w:jc w:val="center"/>
        <w:rPr>
          <w:rFonts w:ascii="Times New Roman" w:hAnsi="Times New Roman"/>
          <w:b/>
          <w:sz w:val="28"/>
          <w:szCs w:val="28"/>
        </w:rPr>
      </w:pPr>
      <w:bookmarkStart w:id="0" w:name="_GoBack"/>
      <w:bookmarkEnd w:id="0"/>
      <w:r w:rsidRPr="00325DE3">
        <w:rPr>
          <w:rFonts w:ascii="Times New Roman" w:hAnsi="Times New Roman"/>
          <w:b/>
          <w:sz w:val="28"/>
          <w:szCs w:val="28"/>
        </w:rPr>
        <w:t>Типовой а</w:t>
      </w:r>
      <w:r w:rsidR="00511437" w:rsidRPr="00325DE3">
        <w:rPr>
          <w:rFonts w:ascii="Times New Roman" w:hAnsi="Times New Roman"/>
          <w:b/>
          <w:sz w:val="28"/>
          <w:szCs w:val="28"/>
        </w:rPr>
        <w:t>дминистративный регламент</w:t>
      </w:r>
    </w:p>
    <w:p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rsidR="00511437" w:rsidRPr="00325DE3" w:rsidRDefault="00511437" w:rsidP="00953A78">
      <w:pPr>
        <w:widowControl w:val="0"/>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на территории </w:t>
      </w:r>
      <w:r w:rsidR="00F85DDA" w:rsidRPr="00F85DDA">
        <w:rPr>
          <w:rFonts w:ascii="Times New Roman" w:hAnsi="Times New Roman"/>
          <w:b/>
          <w:bCs/>
          <w:sz w:val="28"/>
          <w:szCs w:val="28"/>
        </w:rPr>
        <w:t>Мезенского муниципального округа Архангельской области</w:t>
      </w:r>
    </w:p>
    <w:p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1056"/>
      </w:tblGrid>
      <w:tr w:rsidR="00325DE3" w:rsidRPr="00325DE3" w:rsidTr="00BB3621">
        <w:tc>
          <w:tcPr>
            <w:tcW w:w="8865" w:type="dxa"/>
          </w:tcPr>
          <w:p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rsidTr="00BB3621">
        <w:tc>
          <w:tcPr>
            <w:tcW w:w="8865" w:type="dxa"/>
          </w:tcPr>
          <w:p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государственной (муниципальной) </w:t>
            </w:r>
            <w:r w:rsidRPr="00325DE3">
              <w:rPr>
                <w:rFonts w:eastAsia="Calibri"/>
                <w:iCs/>
                <w:sz w:val="28"/>
                <w:szCs w:val="28"/>
              </w:rPr>
              <w:t>услуги</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rsidTr="00BB3621">
        <w:tc>
          <w:tcPr>
            <w:tcW w:w="8865" w:type="dxa"/>
          </w:tcPr>
          <w:p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2115C3" w:rsidRPr="00325DE3" w:rsidRDefault="002115C3" w:rsidP="002115C3">
            <w:pPr>
              <w:widowControl w:val="0"/>
              <w:tabs>
                <w:tab w:val="left" w:pos="567"/>
              </w:tabs>
              <w:spacing w:after="0" w:line="240" w:lineRule="auto"/>
              <w:contextualSpacing/>
              <w:jc w:val="right"/>
              <w:rPr>
                <w:iCs/>
                <w:sz w:val="28"/>
                <w:szCs w:val="28"/>
              </w:rPr>
            </w:pPr>
          </w:p>
          <w:p w:rsidR="002115C3" w:rsidRPr="00325DE3" w:rsidRDefault="002115C3" w:rsidP="002115C3">
            <w:pPr>
              <w:widowControl w:val="0"/>
              <w:tabs>
                <w:tab w:val="left" w:pos="567"/>
              </w:tabs>
              <w:spacing w:after="0" w:line="240" w:lineRule="auto"/>
              <w:contextualSpacing/>
              <w:jc w:val="right"/>
              <w:rPr>
                <w:iCs/>
                <w:sz w:val="28"/>
                <w:szCs w:val="28"/>
              </w:rPr>
            </w:pPr>
          </w:p>
          <w:p w:rsidR="002115C3" w:rsidRPr="00325DE3" w:rsidRDefault="002115C3" w:rsidP="002115C3">
            <w:pPr>
              <w:widowControl w:val="0"/>
              <w:tabs>
                <w:tab w:val="left" w:pos="567"/>
              </w:tabs>
              <w:spacing w:after="0" w:line="240" w:lineRule="auto"/>
              <w:contextualSpacing/>
              <w:jc w:val="right"/>
              <w:rPr>
                <w:iCs/>
                <w:sz w:val="28"/>
                <w:szCs w:val="28"/>
              </w:rPr>
            </w:pPr>
          </w:p>
          <w:p w:rsidR="00C24C55" w:rsidRPr="00325DE3" w:rsidRDefault="00C24C55" w:rsidP="002115C3">
            <w:pPr>
              <w:widowControl w:val="0"/>
              <w:tabs>
                <w:tab w:val="left" w:pos="567"/>
              </w:tabs>
              <w:spacing w:after="0" w:line="240" w:lineRule="auto"/>
              <w:contextualSpacing/>
              <w:jc w:val="right"/>
              <w:rPr>
                <w:iCs/>
                <w:sz w:val="28"/>
                <w:szCs w:val="28"/>
              </w:rPr>
            </w:pPr>
          </w:p>
          <w:p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rsidR="002115C3" w:rsidRPr="00325DE3" w:rsidRDefault="002115C3" w:rsidP="008E1775">
            <w:pPr>
              <w:widowControl w:val="0"/>
              <w:tabs>
                <w:tab w:val="left" w:pos="567"/>
              </w:tabs>
              <w:spacing w:after="0" w:line="240" w:lineRule="auto"/>
              <w:contextualSpacing/>
              <w:jc w:val="right"/>
              <w:rPr>
                <w:iCs/>
                <w:sz w:val="28"/>
                <w:szCs w:val="28"/>
              </w:rPr>
            </w:pPr>
          </w:p>
          <w:p w:rsidR="00AB10DA" w:rsidRPr="00325DE3" w:rsidRDefault="00076753" w:rsidP="008E1775">
            <w:pPr>
              <w:widowControl w:val="0"/>
              <w:tabs>
                <w:tab w:val="left" w:pos="567"/>
              </w:tabs>
              <w:spacing w:after="0" w:line="240" w:lineRule="auto"/>
              <w:contextualSpacing/>
              <w:jc w:val="right"/>
              <w:rPr>
                <w:iCs/>
                <w:sz w:val="28"/>
                <w:szCs w:val="28"/>
              </w:rPr>
            </w:pPr>
            <w:r w:rsidRPr="00325DE3">
              <w:rPr>
                <w:iCs/>
                <w:sz w:val="28"/>
                <w:szCs w:val="28"/>
              </w:rPr>
              <w:t>73</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государственных или муниципальных служащих, работников</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AB10DA"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76</w:t>
            </w:r>
          </w:p>
        </w:tc>
      </w:tr>
      <w:tr w:rsidR="00325DE3" w:rsidRPr="00325DE3" w:rsidTr="00BB3621">
        <w:tc>
          <w:tcPr>
            <w:tcW w:w="8865" w:type="dxa"/>
          </w:tcPr>
          <w:p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E8410C" w:rsidRPr="00325DE3" w:rsidRDefault="00076753" w:rsidP="00E54398">
            <w:pPr>
              <w:widowControl w:val="0"/>
              <w:tabs>
                <w:tab w:val="left" w:pos="567"/>
              </w:tabs>
              <w:spacing w:after="0" w:line="240" w:lineRule="auto"/>
              <w:contextualSpacing/>
              <w:jc w:val="right"/>
              <w:rPr>
                <w:iCs/>
                <w:sz w:val="28"/>
                <w:szCs w:val="28"/>
              </w:rPr>
            </w:pPr>
            <w:r w:rsidRPr="00325DE3">
              <w:rPr>
                <w:iCs/>
                <w:sz w:val="28"/>
                <w:szCs w:val="28"/>
              </w:rPr>
              <w:t>7</w:t>
            </w:r>
            <w:r w:rsidR="00E54398">
              <w:rPr>
                <w:iCs/>
                <w:sz w:val="28"/>
                <w:szCs w:val="28"/>
              </w:rPr>
              <w:t>4</w:t>
            </w:r>
          </w:p>
        </w:tc>
      </w:tr>
      <w:tr w:rsidR="00325DE3" w:rsidRPr="00325DE3" w:rsidTr="00BB3621">
        <w:tc>
          <w:tcPr>
            <w:tcW w:w="8865" w:type="dxa"/>
          </w:tcPr>
          <w:p w:rsidR="00C708EF" w:rsidRPr="00325DE3" w:rsidRDefault="00193F52" w:rsidP="00876B9D">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876B9D">
              <w:rPr>
                <w:rFonts w:eastAsia="Calibri"/>
                <w:iCs/>
                <w:sz w:val="28"/>
                <w:szCs w:val="28"/>
              </w:rPr>
              <w:t>Ф</w:t>
            </w:r>
            <w:r w:rsidR="000F3518" w:rsidRPr="00325DE3">
              <w:rPr>
                <w:rFonts w:eastAsia="Calibri"/>
                <w:iCs/>
                <w:sz w:val="28"/>
                <w:szCs w:val="28"/>
              </w:rPr>
              <w:t xml:space="preserve">орма </w:t>
            </w:r>
            <w:r w:rsidR="005538B1" w:rsidRPr="00325DE3">
              <w:rPr>
                <w:iCs/>
                <w:sz w:val="28"/>
                <w:szCs w:val="28"/>
              </w:rPr>
              <w:t>заявления</w:t>
            </w:r>
            <w:r w:rsidR="005538B1" w:rsidRPr="00325DE3">
              <w:rPr>
                <w:sz w:val="28"/>
                <w:szCs w:val="28"/>
              </w:rPr>
              <w:t xml:space="preserve"> </w:t>
            </w:r>
            <w:r w:rsidR="005538B1" w:rsidRPr="00325DE3">
              <w:rPr>
                <w:iCs/>
                <w:sz w:val="28"/>
                <w:szCs w:val="28"/>
              </w:rPr>
              <w:t xml:space="preserve">о выдаче разрешения на строительство </w:t>
            </w:r>
          </w:p>
        </w:tc>
        <w:tc>
          <w:tcPr>
            <w:tcW w:w="1056" w:type="dxa"/>
          </w:tcPr>
          <w:p w:rsidR="002115C3" w:rsidRPr="00325DE3" w:rsidRDefault="002115C3" w:rsidP="00C12527">
            <w:pPr>
              <w:widowControl w:val="0"/>
              <w:tabs>
                <w:tab w:val="left" w:pos="567"/>
              </w:tabs>
              <w:spacing w:after="0" w:line="240" w:lineRule="auto"/>
              <w:contextualSpacing/>
              <w:jc w:val="right"/>
              <w:rPr>
                <w:iCs/>
                <w:sz w:val="28"/>
                <w:szCs w:val="28"/>
              </w:rPr>
            </w:pPr>
          </w:p>
          <w:p w:rsidR="00C708EF" w:rsidRPr="00325DE3" w:rsidRDefault="00076753" w:rsidP="00E54398">
            <w:pPr>
              <w:widowControl w:val="0"/>
              <w:tabs>
                <w:tab w:val="left" w:pos="567"/>
              </w:tabs>
              <w:spacing w:after="0" w:line="240" w:lineRule="auto"/>
              <w:contextualSpacing/>
              <w:jc w:val="right"/>
              <w:rPr>
                <w:iCs/>
                <w:sz w:val="28"/>
                <w:szCs w:val="28"/>
              </w:rPr>
            </w:pPr>
            <w:r w:rsidRPr="00325DE3">
              <w:rPr>
                <w:iCs/>
                <w:sz w:val="28"/>
                <w:szCs w:val="28"/>
              </w:rPr>
              <w:t>7</w:t>
            </w:r>
            <w:r w:rsidR="00E54398">
              <w:rPr>
                <w:iCs/>
                <w:sz w:val="28"/>
                <w:szCs w:val="28"/>
              </w:rPr>
              <w:t>5</w:t>
            </w:r>
          </w:p>
        </w:tc>
      </w:tr>
      <w:tr w:rsidR="007F3499"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заявления </w:t>
            </w:r>
            <w:r w:rsidRPr="00325DE3">
              <w:rPr>
                <w:sz w:val="28"/>
                <w:szCs w:val="28"/>
              </w:rPr>
              <w:t>о внесении изменений в разрешение на строительство</w:t>
            </w:r>
          </w:p>
        </w:tc>
        <w:tc>
          <w:tcPr>
            <w:tcW w:w="1056" w:type="dxa"/>
          </w:tcPr>
          <w:p w:rsidR="007C100E" w:rsidRPr="00325DE3" w:rsidRDefault="007C100E" w:rsidP="007F3499">
            <w:pPr>
              <w:widowControl w:val="0"/>
              <w:tabs>
                <w:tab w:val="left" w:pos="567"/>
              </w:tabs>
              <w:spacing w:after="0" w:line="240" w:lineRule="auto"/>
              <w:contextualSpacing/>
              <w:jc w:val="right"/>
              <w:rPr>
                <w:iCs/>
                <w:sz w:val="28"/>
                <w:szCs w:val="28"/>
              </w:rPr>
            </w:pPr>
          </w:p>
          <w:p w:rsidR="007F3499"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8</w:t>
            </w:r>
            <w:r w:rsidR="00E54398">
              <w:rPr>
                <w:iCs/>
                <w:sz w:val="28"/>
                <w:szCs w:val="28"/>
              </w:rPr>
              <w:t>0</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заявления </w:t>
            </w:r>
            <w:r w:rsidRPr="00325DE3">
              <w:rPr>
                <w:bCs/>
                <w:sz w:val="28"/>
                <w:szCs w:val="28"/>
              </w:rPr>
              <w:t>о внесении изменений в разрешение на строительство</w:t>
            </w:r>
            <w:r w:rsidRPr="00325DE3">
              <w:rPr>
                <w:sz w:val="28"/>
                <w:szCs w:val="28"/>
              </w:rPr>
              <w:t xml:space="preserve"> </w:t>
            </w:r>
            <w:r w:rsidRPr="00325DE3">
              <w:rPr>
                <w:bCs/>
                <w:sz w:val="28"/>
                <w:szCs w:val="28"/>
              </w:rPr>
              <w:t>в связи с необходимостью продления срока действия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C100E" w:rsidRPr="00325DE3" w:rsidRDefault="007C100E" w:rsidP="007F3499">
            <w:pPr>
              <w:widowControl w:val="0"/>
              <w:tabs>
                <w:tab w:val="left" w:pos="567"/>
              </w:tabs>
              <w:spacing w:after="0" w:line="240" w:lineRule="auto"/>
              <w:contextualSpacing/>
              <w:jc w:val="right"/>
              <w:rPr>
                <w:iCs/>
                <w:sz w:val="28"/>
                <w:szCs w:val="28"/>
              </w:rPr>
            </w:pPr>
          </w:p>
          <w:p w:rsidR="007C100E"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8</w:t>
            </w:r>
            <w:r w:rsidR="00E54398">
              <w:rPr>
                <w:iCs/>
                <w:sz w:val="28"/>
                <w:szCs w:val="28"/>
              </w:rPr>
              <w:t>5</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r w:rsidRPr="00325DE3">
              <w:rPr>
                <w:iCs/>
                <w:sz w:val="28"/>
                <w:szCs w:val="28"/>
              </w:rPr>
              <w:t xml:space="preserve"> </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E54398" w:rsidP="00187D47">
            <w:pPr>
              <w:widowControl w:val="0"/>
              <w:tabs>
                <w:tab w:val="left" w:pos="567"/>
              </w:tabs>
              <w:spacing w:after="0" w:line="240" w:lineRule="auto"/>
              <w:contextualSpacing/>
              <w:jc w:val="right"/>
              <w:rPr>
                <w:iCs/>
                <w:sz w:val="28"/>
                <w:szCs w:val="28"/>
              </w:rPr>
            </w:pPr>
            <w:r>
              <w:rPr>
                <w:iCs/>
                <w:sz w:val="28"/>
                <w:szCs w:val="28"/>
              </w:rPr>
              <w:t>88</w:t>
            </w:r>
          </w:p>
        </w:tc>
      </w:tr>
      <w:tr w:rsidR="00325DE3" w:rsidRPr="00325DE3" w:rsidTr="00BB3621">
        <w:tc>
          <w:tcPr>
            <w:tcW w:w="8865" w:type="dxa"/>
          </w:tcPr>
          <w:p w:rsidR="007F3499" w:rsidRPr="00325DE3" w:rsidRDefault="007F3499" w:rsidP="00876B9D">
            <w:pPr>
              <w:spacing w:after="0" w:line="240" w:lineRule="auto"/>
              <w:ind w:firstLine="604"/>
              <w:jc w:val="both"/>
              <w:rPr>
                <w:iCs/>
                <w:sz w:val="28"/>
                <w:szCs w:val="28"/>
              </w:rPr>
            </w:pPr>
            <w:r w:rsidRPr="00325DE3">
              <w:rPr>
                <w:iCs/>
                <w:sz w:val="28"/>
                <w:szCs w:val="28"/>
              </w:rPr>
              <w:t xml:space="preserve">Приложение № 6. </w:t>
            </w:r>
            <w:r w:rsidR="00876B9D">
              <w:rPr>
                <w:rFonts w:eastAsia="Calibri"/>
                <w:iCs/>
                <w:sz w:val="28"/>
                <w:szCs w:val="28"/>
              </w:rPr>
              <w:t>Ф</w:t>
            </w:r>
            <w:r w:rsidRPr="00325DE3">
              <w:rPr>
                <w:rFonts w:eastAsia="Calibri"/>
                <w:iCs/>
                <w:sz w:val="28"/>
                <w:szCs w:val="28"/>
              </w:rPr>
              <w:t xml:space="preserve">орма </w:t>
            </w:r>
            <w:r w:rsidRPr="00325DE3">
              <w:rPr>
                <w:iCs/>
                <w:sz w:val="28"/>
                <w:szCs w:val="28"/>
              </w:rPr>
              <w:t>заявления о выдаче дубликата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9</w:t>
            </w:r>
            <w:r w:rsidR="00E54398">
              <w:rPr>
                <w:iCs/>
                <w:sz w:val="28"/>
                <w:szCs w:val="28"/>
              </w:rPr>
              <w:t>2</w:t>
            </w:r>
          </w:p>
        </w:tc>
      </w:tr>
      <w:tr w:rsidR="00325DE3" w:rsidRPr="00325DE3" w:rsidTr="00BB3621">
        <w:tc>
          <w:tcPr>
            <w:tcW w:w="8865" w:type="dxa"/>
          </w:tcPr>
          <w:p w:rsidR="007F3499" w:rsidRPr="00325DE3" w:rsidRDefault="007F3499" w:rsidP="00876B9D">
            <w:pPr>
              <w:spacing w:after="0" w:line="240" w:lineRule="auto"/>
              <w:ind w:firstLine="604"/>
              <w:jc w:val="both"/>
              <w:rPr>
                <w:iCs/>
                <w:sz w:val="28"/>
                <w:szCs w:val="28"/>
              </w:rPr>
            </w:pPr>
            <w:r w:rsidRPr="00325DE3">
              <w:rPr>
                <w:iCs/>
                <w:sz w:val="28"/>
                <w:szCs w:val="28"/>
              </w:rPr>
              <w:t xml:space="preserve">Приложение № 7. </w:t>
            </w:r>
            <w:r w:rsidR="00876B9D">
              <w:rPr>
                <w:rFonts w:eastAsia="Calibri"/>
                <w:iCs/>
                <w:sz w:val="28"/>
                <w:szCs w:val="28"/>
              </w:rPr>
              <w:t>Ф</w:t>
            </w:r>
            <w:r w:rsidRPr="00325DE3">
              <w:rPr>
                <w:rFonts w:eastAsia="Calibri"/>
                <w:iCs/>
                <w:sz w:val="28"/>
                <w:szCs w:val="28"/>
              </w:rPr>
              <w:t xml:space="preserve">орма </w:t>
            </w:r>
            <w:r w:rsidRPr="00325DE3">
              <w:rPr>
                <w:iCs/>
                <w:sz w:val="28"/>
                <w:szCs w:val="28"/>
              </w:rPr>
              <w:t>заявления об исправлении допущенных опечаток и ошибок в разрешении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C100E"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9</w:t>
            </w:r>
            <w:r w:rsidR="00E54398">
              <w:rPr>
                <w:iCs/>
                <w:sz w:val="28"/>
                <w:szCs w:val="28"/>
              </w:rPr>
              <w:t>5</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8.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 приеме документов</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E54398" w:rsidP="00187D47">
            <w:pPr>
              <w:widowControl w:val="0"/>
              <w:tabs>
                <w:tab w:val="left" w:pos="567"/>
              </w:tabs>
              <w:spacing w:after="0" w:line="240" w:lineRule="auto"/>
              <w:contextualSpacing/>
              <w:jc w:val="right"/>
              <w:rPr>
                <w:iCs/>
                <w:sz w:val="28"/>
                <w:szCs w:val="28"/>
              </w:rPr>
            </w:pPr>
            <w:r>
              <w:rPr>
                <w:iCs/>
                <w:sz w:val="28"/>
                <w:szCs w:val="28"/>
              </w:rPr>
              <w:lastRenderedPageBreak/>
              <w:t>98</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lastRenderedPageBreak/>
              <w:t xml:space="preserve">Приложение № 9.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 выдаче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10</w:t>
            </w:r>
            <w:r w:rsidR="00E54398">
              <w:rPr>
                <w:iCs/>
                <w:sz w:val="28"/>
                <w:szCs w:val="28"/>
              </w:rPr>
              <w:t>1</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00876B9D">
              <w:rPr>
                <w:rFonts w:eastAsia="Calibri"/>
                <w:iCs/>
                <w:sz w:val="28"/>
                <w:szCs w:val="28"/>
              </w:rPr>
              <w:t>Ф</w:t>
            </w:r>
            <w:r w:rsidRPr="00325DE3">
              <w:rPr>
                <w:rFonts w:eastAsia="Calibri"/>
                <w:iCs/>
                <w:sz w:val="28"/>
                <w:szCs w:val="28"/>
              </w:rPr>
              <w:t xml:space="preserve">форма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10</w:t>
            </w:r>
            <w:r w:rsidR="00E54398">
              <w:rPr>
                <w:iCs/>
                <w:sz w:val="28"/>
                <w:szCs w:val="28"/>
              </w:rPr>
              <w:t>5</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E54398">
            <w:pPr>
              <w:widowControl w:val="0"/>
              <w:tabs>
                <w:tab w:val="left" w:pos="567"/>
              </w:tabs>
              <w:spacing w:after="0" w:line="240" w:lineRule="auto"/>
              <w:contextualSpacing/>
              <w:jc w:val="right"/>
              <w:rPr>
                <w:iCs/>
                <w:sz w:val="28"/>
                <w:szCs w:val="28"/>
              </w:rPr>
            </w:pPr>
            <w:r w:rsidRPr="00325DE3">
              <w:rPr>
                <w:iCs/>
                <w:sz w:val="28"/>
                <w:szCs w:val="28"/>
              </w:rPr>
              <w:t>1</w:t>
            </w:r>
            <w:r w:rsidR="00E54398">
              <w:rPr>
                <w:iCs/>
                <w:sz w:val="28"/>
                <w:szCs w:val="28"/>
              </w:rPr>
              <w:t>08</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E54398">
            <w:pPr>
              <w:widowControl w:val="0"/>
              <w:tabs>
                <w:tab w:val="left" w:pos="567"/>
              </w:tabs>
              <w:spacing w:after="0" w:line="240" w:lineRule="auto"/>
              <w:contextualSpacing/>
              <w:jc w:val="right"/>
              <w:rPr>
                <w:iCs/>
                <w:sz w:val="28"/>
                <w:szCs w:val="28"/>
              </w:rPr>
            </w:pPr>
            <w:r w:rsidRPr="00325DE3">
              <w:rPr>
                <w:iCs/>
                <w:sz w:val="28"/>
                <w:szCs w:val="28"/>
              </w:rPr>
              <w:t>11</w:t>
            </w:r>
            <w:r w:rsidR="00E54398">
              <w:rPr>
                <w:iCs/>
                <w:sz w:val="28"/>
                <w:szCs w:val="28"/>
              </w:rPr>
              <w:t>0</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E54398">
            <w:pPr>
              <w:widowControl w:val="0"/>
              <w:tabs>
                <w:tab w:val="left" w:pos="567"/>
              </w:tabs>
              <w:spacing w:after="0" w:line="240" w:lineRule="auto"/>
              <w:contextualSpacing/>
              <w:jc w:val="right"/>
              <w:rPr>
                <w:iCs/>
                <w:sz w:val="28"/>
                <w:szCs w:val="28"/>
              </w:rPr>
            </w:pPr>
            <w:r w:rsidRPr="00325DE3">
              <w:rPr>
                <w:iCs/>
                <w:sz w:val="28"/>
                <w:szCs w:val="28"/>
              </w:rPr>
              <w:t>11</w:t>
            </w:r>
            <w:r w:rsidR="00E54398">
              <w:rPr>
                <w:iCs/>
                <w:sz w:val="28"/>
                <w:szCs w:val="28"/>
              </w:rPr>
              <w:t>2</w:t>
            </w:r>
          </w:p>
        </w:tc>
      </w:tr>
      <w:tr w:rsidR="00325DE3" w:rsidRPr="00325DE3" w:rsidTr="00BB3621">
        <w:tc>
          <w:tcPr>
            <w:tcW w:w="8865" w:type="dxa"/>
          </w:tcPr>
          <w:p w:rsidR="007F3499" w:rsidRPr="00325DE3" w:rsidRDefault="007F3499" w:rsidP="00876B9D">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00876B9D">
              <w:rPr>
                <w:rFonts w:eastAsia="Calibri"/>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p>
        </w:tc>
        <w:tc>
          <w:tcPr>
            <w:tcW w:w="1056" w:type="dxa"/>
          </w:tcPr>
          <w:p w:rsidR="007F3499" w:rsidRPr="00325DE3" w:rsidRDefault="007F3499" w:rsidP="00187D47">
            <w:pPr>
              <w:widowControl w:val="0"/>
              <w:tabs>
                <w:tab w:val="left" w:pos="567"/>
              </w:tabs>
              <w:spacing w:after="0" w:line="240" w:lineRule="auto"/>
              <w:contextualSpacing/>
              <w:jc w:val="center"/>
              <w:rPr>
                <w:iCs/>
                <w:sz w:val="28"/>
                <w:szCs w:val="28"/>
              </w:rPr>
            </w:pPr>
          </w:p>
          <w:p w:rsidR="007F3499" w:rsidRPr="00325DE3" w:rsidRDefault="007F3499" w:rsidP="00E54398">
            <w:pPr>
              <w:widowControl w:val="0"/>
              <w:tabs>
                <w:tab w:val="left" w:pos="567"/>
              </w:tabs>
              <w:spacing w:after="0" w:line="240" w:lineRule="auto"/>
              <w:contextualSpacing/>
              <w:jc w:val="right"/>
              <w:rPr>
                <w:iCs/>
                <w:sz w:val="28"/>
                <w:szCs w:val="28"/>
              </w:rPr>
            </w:pPr>
            <w:r w:rsidRPr="00325DE3">
              <w:rPr>
                <w:iCs/>
                <w:sz w:val="28"/>
                <w:szCs w:val="28"/>
              </w:rPr>
              <w:t>1</w:t>
            </w:r>
            <w:r w:rsidR="00E54398">
              <w:rPr>
                <w:iCs/>
                <w:sz w:val="28"/>
                <w:szCs w:val="28"/>
              </w:rPr>
              <w:t>18</w:t>
            </w:r>
          </w:p>
        </w:tc>
      </w:tr>
    </w:tbl>
    <w:p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F85DDA" w:rsidRPr="00F85DDA">
        <w:rPr>
          <w:rFonts w:ascii="Times New Roman" w:hAnsi="Times New Roman"/>
          <w:bCs/>
          <w:iCs/>
          <w:sz w:val="28"/>
          <w:szCs w:val="28"/>
        </w:rPr>
        <w:t>администрацией Мезенского муниципального оукруга Архангельской области</w:t>
      </w:r>
      <w:r w:rsidR="00147463" w:rsidRPr="00325DE3">
        <w:rPr>
          <w:rFonts w:ascii="Times New Roman" w:hAnsi="Times New Roman"/>
          <w:bCs/>
          <w:sz w:val="28"/>
          <w:szCs w:val="28"/>
        </w:rPr>
        <w:t>.</w:t>
      </w:r>
    </w:p>
    <w:p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Pr="00C1028A">
        <w:rPr>
          <w:rFonts w:ascii="Times New Roman" w:hAnsi="Times New Roman"/>
          <w:bCs/>
          <w:sz w:val="28"/>
          <w:szCs w:val="28"/>
        </w:rPr>
        <w:t>вправе принять</w:t>
      </w:r>
      <w:r w:rsidR="00C1028A" w:rsidRPr="00C1028A">
        <w:rPr>
          <w:rFonts w:ascii="Times New Roman" w:hAnsi="Times New Roman"/>
          <w:bCs/>
          <w:sz w:val="28"/>
          <w:szCs w:val="28"/>
        </w:rPr>
        <w:t xml:space="preserve"> </w:t>
      </w:r>
      <w:r w:rsidRPr="00C1028A">
        <w:rPr>
          <w:rFonts w:ascii="Times New Roman" w:hAnsi="Times New Roman"/>
          <w:bCs/>
          <w:sz w:val="28"/>
          <w:szCs w:val="28"/>
        </w:rPr>
        <w:t xml:space="preserve">в соответствии соглашением о взаимодействии между уполномоченным органом </w:t>
      </w:r>
      <w:r w:rsidR="005F6D07" w:rsidRPr="00C1028A">
        <w:rPr>
          <w:rFonts w:ascii="Times New Roman" w:hAnsi="Times New Roman"/>
          <w:bCs/>
          <w:sz w:val="28"/>
          <w:szCs w:val="28"/>
        </w:rPr>
        <w:t xml:space="preserve">государственной власти, органом местного самоуправления </w:t>
      </w:r>
      <w:r w:rsidRPr="00C1028A">
        <w:rPr>
          <w:rFonts w:ascii="Times New Roman" w:hAnsi="Times New Roman"/>
          <w:bCs/>
          <w:sz w:val="28"/>
          <w:szCs w:val="28"/>
        </w:rPr>
        <w:t>и многофункциональным цент</w:t>
      </w:r>
      <w:r w:rsidR="007D522C" w:rsidRPr="00C1028A">
        <w:rPr>
          <w:rFonts w:ascii="Times New Roman" w:hAnsi="Times New Roman"/>
          <w:bCs/>
          <w:sz w:val="28"/>
          <w:szCs w:val="28"/>
        </w:rPr>
        <w:t>р</w:t>
      </w:r>
      <w:r w:rsidRPr="00C1028A">
        <w:rPr>
          <w:rFonts w:ascii="Times New Roman" w:hAnsi="Times New Roman"/>
          <w:bCs/>
          <w:sz w:val="28"/>
          <w:szCs w:val="28"/>
        </w:rPr>
        <w:t>ом</w:t>
      </w:r>
      <w:r w:rsidRPr="00325DE3">
        <w:rPr>
          <w:rFonts w:ascii="Times New Roman" w:hAnsi="Times New Roman"/>
          <w:bCs/>
          <w:sz w:val="28"/>
          <w:szCs w:val="28"/>
        </w:rPr>
        <w:t xml:space="preserve"> 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rsidR="00E0457C" w:rsidRPr="00325DE3" w:rsidRDefault="00C64BE0"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E0457C" w:rsidRPr="00325DE3" w:rsidRDefault="00E0457C" w:rsidP="00B35DA9">
      <w:pPr>
        <w:pStyle w:val="ConsPlusNormal"/>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предоставления государственной (муниципальной) услуги осуществляется </w:t>
      </w:r>
      <w:r w:rsidR="00F70EDB">
        <w:rPr>
          <w:bCs/>
        </w:rPr>
        <w:t>на Платформе ГИС "Земля"</w:t>
      </w:r>
      <w:r w:rsidR="00A664F3" w:rsidRPr="00325DE3">
        <w:rPr>
          <w:bCs/>
        </w:rPr>
        <w:t>.</w:t>
      </w:r>
    </w:p>
    <w:p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2217E5" w:rsidRPr="00325DE3">
        <w:t>(</w:t>
      </w:r>
      <w:r w:rsidR="00FC2063" w:rsidRPr="007761BC">
        <w:rPr>
          <w:bCs/>
          <w:iCs/>
        </w:rPr>
        <w:t>https://gosuslugi29.ru/</w:t>
      </w:r>
      <w:r w:rsidR="002217E5" w:rsidRPr="00325DE3">
        <w:t>)</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rsidR="005F7F57" w:rsidRPr="00325DE3" w:rsidRDefault="005F7F57" w:rsidP="005F7F57">
      <w:pPr>
        <w:pStyle w:val="ConsPlusNormal"/>
        <w:ind w:firstLine="709"/>
        <w:jc w:val="both"/>
        <w:rPr>
          <w:bCs/>
        </w:rPr>
      </w:pPr>
      <w:r w:rsidRPr="00325DE3">
        <w:rPr>
          <w:bCs/>
        </w:rPr>
        <w:t>2.8. Срок предоставления услуги составляет:</w:t>
      </w:r>
    </w:p>
    <w:p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rsidR="005F7F57" w:rsidRPr="00325DE3" w:rsidRDefault="005F7F57" w:rsidP="005F7F57">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r w:rsidRPr="00325DE3" w:rsidDel="0077577C">
        <w:rPr>
          <w:rFonts w:ascii="Times New Roman" w:hAnsi="Times New Roman"/>
          <w:b/>
          <w:bCs/>
          <w:sz w:val="28"/>
          <w:szCs w:val="28"/>
        </w:rPr>
        <w:t xml:space="preserve"> </w:t>
      </w:r>
    </w:p>
    <w:p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rsidR="0077577C" w:rsidRPr="00325DE3" w:rsidRDefault="0077577C" w:rsidP="0077577C">
      <w:pPr>
        <w:pStyle w:val="ConsPlusNormal"/>
        <w:ind w:firstLine="709"/>
        <w:jc w:val="both"/>
      </w:pPr>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r w:rsidRPr="00325DE3">
        <w:rPr>
          <w:i/>
        </w:rPr>
        <w:t>(</w:t>
      </w:r>
      <w:r w:rsidR="00FC2063" w:rsidRPr="007761BC">
        <w:t>http://www.mezen.ru/</w:t>
      </w:r>
      <w:r w:rsidRPr="00325DE3">
        <w:rPr>
          <w:i/>
        </w:rPr>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rsidR="00725246" w:rsidRPr="00325DE3" w:rsidRDefault="00725246" w:rsidP="00725246">
      <w:pPr>
        <w:pStyle w:val="ConsPlusNormal"/>
        <w:ind w:firstLine="709"/>
        <w:jc w:val="both"/>
        <w:rPr>
          <w:b/>
          <w:bCs/>
        </w:rPr>
      </w:pPr>
    </w:p>
    <w:p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rsidR="005F7F57" w:rsidRPr="00325DE3" w:rsidRDefault="005F7F57" w:rsidP="005F7F57">
      <w:pPr>
        <w:widowControl w:val="0"/>
        <w:tabs>
          <w:tab w:val="left" w:pos="567"/>
        </w:tabs>
        <w:spacing w:after="0" w:line="240" w:lineRule="auto"/>
        <w:ind w:firstLine="709"/>
        <w:contextualSpacing/>
        <w:jc w:val="center"/>
        <w:rPr>
          <w:b/>
          <w:bCs/>
        </w:rPr>
      </w:pPr>
    </w:p>
    <w:p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rPr>
          <w:bCs/>
        </w:rPr>
        <w:t xml:space="preserve"> </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(Собрание законодательства Российской Федерации, 2005, № 1, ст. 16;</w:t>
      </w:r>
      <w:r w:rsidR="0083744B" w:rsidRPr="00325DE3">
        <w:t xml:space="preserve"> </w:t>
      </w:r>
      <w:r w:rsidR="0083744B" w:rsidRPr="00325DE3">
        <w:rPr>
          <w:bCs/>
        </w:rPr>
        <w:t xml:space="preserve">2019, № 26, ст. 3317) </w:t>
      </w:r>
      <w:r w:rsidRPr="00325DE3">
        <w:rPr>
          <w:bCs/>
        </w:rPr>
        <w:t>проектной документации:</w:t>
      </w:r>
    </w:p>
    <w:p w:rsidR="005F7F57" w:rsidRPr="00325DE3" w:rsidRDefault="005F7F57" w:rsidP="005F7F57">
      <w:pPr>
        <w:pStyle w:val="ConsPlusNormal"/>
        <w:ind w:firstLine="709"/>
        <w:jc w:val="both"/>
        <w:rPr>
          <w:bCs/>
        </w:rPr>
      </w:pPr>
      <w:r w:rsidRPr="00325DE3">
        <w:rPr>
          <w:bCs/>
        </w:rPr>
        <w:t>пояснительная записка;</w:t>
      </w:r>
    </w:p>
    <w:p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7F57" w:rsidRPr="00325DE3" w:rsidRDefault="005F7F57" w:rsidP="005F7F57">
      <w:pPr>
        <w:pStyle w:val="ConsPlusNormal"/>
        <w:ind w:firstLine="709"/>
        <w:jc w:val="both"/>
        <w:rPr>
          <w:bCs/>
        </w:rPr>
      </w:pPr>
      <w:r w:rsidRPr="00325DE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w:t>
      </w:r>
      <w:r w:rsidR="006D6923" w:rsidRPr="00325DE3">
        <w:t xml:space="preserve"> </w:t>
      </w:r>
      <w:r w:rsidR="006D6923" w:rsidRPr="00325DE3">
        <w:rPr>
          <w:bCs/>
        </w:rPr>
        <w:t>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(Собрание законодательства Российской Федерации, 2005, № 1, ст. 16; 2020, № 50, ст. 8061)</w:t>
      </w:r>
      <w:r w:rsidRPr="00325DE3">
        <w:rPr>
          <w:bCs/>
        </w:rPr>
        <w:t>;</w:t>
      </w:r>
    </w:p>
    <w:p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rsidR="005F7F57" w:rsidRPr="00325DE3" w:rsidRDefault="005F7F57" w:rsidP="005F7F57">
      <w:pPr>
        <w:pStyle w:val="ConsPlusNormal"/>
        <w:ind w:firstLine="709"/>
        <w:jc w:val="both"/>
        <w:rPr>
          <w:bCs/>
        </w:rPr>
      </w:pPr>
      <w:r w:rsidRPr="00325DE3">
        <w:rPr>
          <w:bCs/>
        </w:rPr>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7F57" w:rsidRPr="00325DE3" w:rsidRDefault="005F7F57" w:rsidP="005F7F57">
      <w:pPr>
        <w:pStyle w:val="ConsPlusNormal"/>
        <w:ind w:firstLine="709"/>
        <w:jc w:val="both"/>
        <w:rPr>
          <w:bCs/>
        </w:rPr>
      </w:pPr>
      <w:r w:rsidRPr="00325DE3">
        <w:rPr>
          <w:bCs/>
        </w:rPr>
        <w:t xml:space="preserve">к) </w:t>
      </w:r>
      <w:r w:rsidR="005C284C"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rsidR="005F7F57" w:rsidRPr="00325DE3" w:rsidRDefault="005F7F57" w:rsidP="00B35DA9">
      <w:pPr>
        <w:pStyle w:val="ConsPlusNormal"/>
        <w:ind w:firstLine="709"/>
        <w:jc w:val="both"/>
        <w:rPr>
          <w:bCs/>
        </w:rPr>
      </w:pPr>
      <w:r w:rsidRPr="00325DE3">
        <w:rPr>
          <w:bCs/>
        </w:rPr>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rsidR="005F7F57" w:rsidRPr="00325DE3" w:rsidRDefault="00A1577A">
      <w:pPr>
        <w:pStyle w:val="ConsPlusNormal"/>
        <w:ind w:firstLine="709"/>
        <w:jc w:val="both"/>
        <w:rPr>
          <w:bCs/>
        </w:rPr>
      </w:pPr>
      <w:r w:rsidRPr="00325DE3">
        <w:rPr>
          <w:bCs/>
        </w:rPr>
        <w:t>м</w:t>
      </w:r>
      <w:r w:rsidR="005F7F57" w:rsidRPr="00325DE3">
        <w:rPr>
          <w:bCs/>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7F57" w:rsidRPr="00325DE3" w:rsidRDefault="00A1577A" w:rsidP="005F7F57">
      <w:pPr>
        <w:pStyle w:val="ConsPlusNormal"/>
        <w:ind w:firstLine="709"/>
        <w:jc w:val="both"/>
        <w:rPr>
          <w:bCs/>
        </w:rPr>
      </w:pPr>
      <w:r w:rsidRPr="00325DE3">
        <w:rPr>
          <w:bCs/>
        </w:rPr>
        <w:t>н</w:t>
      </w:r>
      <w:r w:rsidR="005F7F57" w:rsidRPr="00325DE3">
        <w:rPr>
          <w:bCs/>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7F57" w:rsidRPr="00325DE3" w:rsidRDefault="00A1577A" w:rsidP="005F7F57">
      <w:pPr>
        <w:pStyle w:val="ConsPlusNormal"/>
        <w:ind w:firstLine="709"/>
        <w:jc w:val="both"/>
        <w:rPr>
          <w:bCs/>
        </w:rPr>
      </w:pPr>
      <w:r w:rsidRPr="00325DE3">
        <w:rPr>
          <w:bCs/>
        </w:rPr>
        <w:t>о</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rsidR="005F7F57" w:rsidRPr="00325DE3" w:rsidRDefault="00A1577A" w:rsidP="005F7F57">
      <w:pPr>
        <w:pStyle w:val="ConsPlusNormal"/>
        <w:ind w:firstLine="709"/>
        <w:jc w:val="both"/>
        <w:rPr>
          <w:bCs/>
        </w:rPr>
      </w:pPr>
      <w:r w:rsidRPr="00325DE3">
        <w:rPr>
          <w:bCs/>
        </w:rPr>
        <w:t>п</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5F7F57" w:rsidRPr="00325DE3" w:rsidRDefault="005F7F57" w:rsidP="005F7F57">
      <w:pPr>
        <w:pStyle w:val="ConsPlusNormal"/>
        <w:ind w:firstLine="709"/>
        <w:jc w:val="both"/>
        <w:rPr>
          <w:bCs/>
        </w:rPr>
      </w:pPr>
      <w:r w:rsidRPr="00325DE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w:t>
      </w:r>
      <w:r w:rsidR="00AC4723" w:rsidRPr="00325DE3">
        <w:t xml:space="preserve"> </w:t>
      </w:r>
      <w:r w:rsidR="00AC4723" w:rsidRPr="00325DE3">
        <w:rPr>
          <w:bCs/>
        </w:rPr>
        <w:t>2021, № 24, ст. 4188)</w:t>
      </w:r>
      <w:r w:rsidRPr="00325DE3">
        <w:rPr>
          <w:bCs/>
        </w:rPr>
        <w:t>.</w:t>
      </w:r>
    </w:p>
    <w:p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Федерации</w:t>
      </w:r>
      <w:r w:rsidR="00DE7305" w:rsidRPr="00325DE3">
        <w:rPr>
          <w:bCs/>
        </w:rPr>
        <w:t xml:space="preserve"> </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по 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по 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6DA1" w:rsidRPr="00325DE3" w:rsidRDefault="00116DA1" w:rsidP="00AB57CF">
      <w:pPr>
        <w:pStyle w:val="ConsPlusNormal"/>
        <w:ind w:firstLine="709"/>
        <w:jc w:val="center"/>
        <w:rPr>
          <w:bCs/>
        </w:rPr>
      </w:pPr>
    </w:p>
    <w:p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государственной (муниципальной) услуги</w:t>
      </w:r>
    </w:p>
    <w:p w:rsidR="00116DA1" w:rsidRPr="00325DE3" w:rsidRDefault="00116DA1" w:rsidP="00116DA1">
      <w:pPr>
        <w:pStyle w:val="ConsPlusNormal"/>
        <w:ind w:firstLine="709"/>
        <w:jc w:val="both"/>
        <w:rPr>
          <w:bCs/>
        </w:rPr>
      </w:pPr>
    </w:p>
    <w:p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Административного регламента, оформляется по форме согласно Приложению №</w:t>
      </w:r>
      <w:r w:rsidR="008E0D03" w:rsidRPr="00325DE3">
        <w:rPr>
          <w:bCs/>
        </w:rPr>
        <w:t> 8</w:t>
      </w:r>
      <w:r w:rsidRPr="00325DE3">
        <w:rPr>
          <w:bCs/>
        </w:rPr>
        <w:t xml:space="preserve"> к настоящему Административному регламенту. </w:t>
      </w:r>
    </w:p>
    <w:p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116DA1" w:rsidRPr="00325DE3" w:rsidRDefault="00116DA1" w:rsidP="0045665F">
      <w:pPr>
        <w:pStyle w:val="ConsPlusNormal"/>
        <w:ind w:firstLine="709"/>
        <w:jc w:val="both"/>
        <w:rPr>
          <w:bCs/>
        </w:rPr>
      </w:pPr>
    </w:p>
    <w:p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2C033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033F" w:rsidRPr="00325DE3" w:rsidRDefault="002C033F" w:rsidP="002C033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rsidR="00E44531" w:rsidRPr="00325DE3" w:rsidRDefault="00E44531" w:rsidP="00E44531">
      <w:pPr>
        <w:pStyle w:val="ConsPlusNormal"/>
        <w:ind w:firstLine="709"/>
        <w:jc w:val="both"/>
        <w:rPr>
          <w:bCs/>
        </w:rPr>
      </w:pPr>
    </w:p>
    <w:p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20CD5" w:rsidRPr="00325DE3" w:rsidRDefault="00F20CD5" w:rsidP="0045665F">
      <w:pPr>
        <w:pStyle w:val="ConsPlusNormal"/>
        <w:ind w:firstLine="709"/>
        <w:jc w:val="both"/>
        <w:rPr>
          <w:bCs/>
        </w:rPr>
      </w:pPr>
    </w:p>
    <w:p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государственная (муниципальная) услуга</w:t>
      </w:r>
    </w:p>
    <w:p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531" w:rsidRPr="00325DE3" w:rsidRDefault="00E44531" w:rsidP="0045665F">
      <w:pPr>
        <w:pStyle w:val="ConsPlusNormal"/>
        <w:ind w:firstLine="709"/>
        <w:jc w:val="both"/>
        <w:rPr>
          <w:bCs/>
        </w:rPr>
      </w:pPr>
    </w:p>
    <w:p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r w:rsidRPr="00325DE3">
        <w:rPr>
          <w:rFonts w:ascii="Times New Roman" w:hAnsi="Times New Roman"/>
          <w:b/>
          <w:bCs/>
          <w:sz w:val="28"/>
          <w:szCs w:val="28"/>
        </w:rPr>
        <w:t xml:space="preserve"> </w:t>
      </w:r>
    </w:p>
    <w:p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rsidR="00F20CD5" w:rsidRPr="00325DE3" w:rsidRDefault="00F20CD5" w:rsidP="0045665F">
      <w:pPr>
        <w:pStyle w:val="ConsPlusNormal"/>
        <w:ind w:firstLine="709"/>
        <w:jc w:val="both"/>
        <w:rPr>
          <w:bCs/>
        </w:rPr>
      </w:pPr>
    </w:p>
    <w:p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w:t>
      </w:r>
      <w:r w:rsidR="007F1896" w:rsidRPr="00325DE3">
        <w:rPr>
          <w:rFonts w:ascii="Times New Roman" w:hAnsi="Times New Roman"/>
          <w:sz w:val="28"/>
          <w:szCs w:val="28"/>
        </w:rPr>
        <w:t xml:space="preserve"> </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246BD" w:rsidRPr="00325DE3">
        <w:rPr>
          <w:rFonts w:ascii="Times New Roman" w:hAnsi="Times New Roman"/>
          <w:sz w:val="28"/>
          <w:szCs w:val="28"/>
        </w:rPr>
        <w:t xml:space="preserve"> </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325DE3">
        <w:rPr>
          <w:rFonts w:ascii="Times New Roman" w:hAnsi="Times New Roman"/>
          <w:sz w:val="28"/>
          <w:szCs w:val="28"/>
        </w:rPr>
        <w:t xml:space="preserve"> </w:t>
      </w:r>
      <w:r w:rsidRPr="00325DE3">
        <w:rPr>
          <w:rFonts w:ascii="Times New Roman" w:hAnsi="Times New Roman"/>
          <w:sz w:val="28"/>
          <w:szCs w:val="28"/>
        </w:rPr>
        <w:t xml:space="preserve">(муниципальной) услуги: </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w:t>
      </w:r>
      <w:r w:rsidR="003C68B0" w:rsidRPr="00325DE3">
        <w:rPr>
          <w:rFonts w:ascii="Times New Roman" w:hAnsi="Times New Roman"/>
          <w:sz w:val="28"/>
          <w:szCs w:val="28"/>
        </w:rPr>
        <w:t xml:space="preserve"> </w:t>
      </w:r>
      <w:r w:rsidRPr="00325DE3">
        <w:rPr>
          <w:rFonts w:ascii="Times New Roman" w:hAnsi="Times New Roman"/>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w:t>
      </w:r>
      <w:r w:rsidR="007362A1" w:rsidRPr="00325DE3">
        <w:rPr>
          <w:rFonts w:ascii="Times New Roman" w:hAnsi="Times New Roman"/>
          <w:b/>
          <w:sz w:val="28"/>
          <w:szCs w:val="28"/>
        </w:rPr>
        <w:t xml:space="preserve"> </w:t>
      </w:r>
      <w:r w:rsidRPr="00325DE3">
        <w:rPr>
          <w:rFonts w:ascii="Times New Roman" w:hAnsi="Times New Roman"/>
          <w:b/>
          <w:sz w:val="28"/>
          <w:szCs w:val="28"/>
        </w:rPr>
        <w:t>(муниципальной)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rsidR="00BA2B17" w:rsidRPr="00325DE3" w:rsidRDefault="00BA2B17" w:rsidP="00B57BE4">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876B9D">
        <w:rPr>
          <w:rFonts w:ascii="Times New Roman" w:hAnsi="Times New Roman"/>
          <w:bCs/>
          <w:sz w:val="28"/>
          <w:szCs w:val="28"/>
        </w:rPr>
        <w:t>участвует</w:t>
      </w:r>
      <w:r w:rsidR="003357AE" w:rsidRPr="00876B9D">
        <w:rPr>
          <w:rFonts w:ascii="Times New Roman" w:hAnsi="Times New Roman"/>
          <w:bCs/>
          <w:sz w:val="28"/>
          <w:szCs w:val="28"/>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41535B" w:rsidRPr="00325DE3" w:rsidRDefault="0041535B" w:rsidP="00876B9D">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76B9D">
        <w:rPr>
          <w:rFonts w:ascii="Times New Roman" w:hAnsi="Times New Roman"/>
          <w:bCs/>
          <w:sz w:val="28"/>
          <w:szCs w:val="28"/>
        </w:rPr>
        <w:t xml:space="preserve">Комитет по управлению </w:t>
      </w:r>
      <w:r w:rsidR="00876B9D" w:rsidRPr="00876B9D">
        <w:rPr>
          <w:rFonts w:ascii="Times New Roman" w:hAnsi="Times New Roman"/>
          <w:bCs/>
          <w:sz w:val="28"/>
          <w:szCs w:val="28"/>
        </w:rPr>
        <w:t>имуществом администрации Мезенского муниципального округа Архангельской области</w:t>
      </w:r>
      <w:r w:rsidR="00876B9D">
        <w:rPr>
          <w:rFonts w:ascii="Times New Roman" w:hAnsi="Times New Roman"/>
          <w:bCs/>
          <w:sz w:val="28"/>
          <w:szCs w:val="28"/>
        </w:rPr>
        <w:t xml:space="preserve"> </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1535B" w:rsidRPr="00325DE3" w:rsidRDefault="0041535B" w:rsidP="009957E8">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rFonts w:ascii="Times New Roman" w:hAnsi="Times New Roman"/>
          <w:bCs/>
          <w:sz w:val="28"/>
          <w:szCs w:val="28"/>
        </w:rPr>
        <w:t>;</w:t>
      </w:r>
    </w:p>
    <w:p w:rsidR="0041535B" w:rsidRPr="00325DE3" w:rsidRDefault="0041535B"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rFonts w:ascii="Times New Roman" w:hAnsi="Times New Roman"/>
          <w:bCs/>
          <w:sz w:val="28"/>
          <w:szCs w:val="28"/>
        </w:rPr>
        <w:t>;</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41535B"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406749" w:rsidRPr="00325DE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325DE3" w:rsidRDefault="003B02E4" w:rsidP="008316A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без рассмотрения по 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EF5925"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rsidR="00507803" w:rsidRPr="00325DE3" w:rsidRDefault="00507803" w:rsidP="00507803">
      <w:pPr>
        <w:pStyle w:val="ConsPlusNormal"/>
        <w:ind w:firstLine="708"/>
        <w:jc w:val="both"/>
        <w:rPr>
          <w:bCs/>
        </w:rPr>
      </w:pPr>
      <w:r w:rsidRPr="00325DE3">
        <w:rPr>
          <w:bCs/>
        </w:rPr>
        <w:t>Решение об оставлении заявления о выдаче разрешения на строительство без рассмотрения направляется заявителю по 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276704">
        <w:rPr>
          <w:rFonts w:ascii="Times New Roman" w:hAnsi="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 xml:space="preserve">по </w:t>
      </w:r>
      <w:r w:rsidR="00DD3046" w:rsidRPr="00325DE3">
        <w:rPr>
          <w:rFonts w:ascii="Times New Roman" w:hAnsi="Times New Roman"/>
          <w:sz w:val="28"/>
          <w:szCs w:val="28"/>
        </w:rPr>
        <w:t xml:space="preserve">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по 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D91FD4">
        <w:rPr>
          <w:rFonts w:ascii="Times New Roman" w:hAnsi="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w:t>
      </w:r>
    </w:p>
    <w:p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657D1" w:rsidRPr="00325DE3" w:rsidRDefault="001657D1" w:rsidP="00CA54C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rFonts w:ascii="Times New Roman" w:hAnsi="Times New Roman"/>
          <w:bCs/>
          <w:sz w:val="28"/>
          <w:szCs w:val="28"/>
        </w:rPr>
        <w:t>;</w:t>
      </w:r>
    </w:p>
    <w:p w:rsidR="001657D1" w:rsidRPr="00325DE3" w:rsidRDefault="001657D1"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rFonts w:ascii="Times New Roman" w:hAnsi="Times New Roman"/>
          <w:bCs/>
          <w:sz w:val="28"/>
          <w:szCs w:val="28"/>
        </w:rPr>
        <w:t>;</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1657D1" w:rsidRPr="00325DE3">
        <w:rPr>
          <w:rFonts w:ascii="Times New Roman" w:hAnsi="Times New Roman"/>
          <w:bCs/>
          <w:sz w:val="28"/>
          <w:szCs w:val="28"/>
        </w:rPr>
        <w:t xml:space="preserve"> </w:t>
      </w:r>
      <w:r w:rsidR="00406749" w:rsidRPr="00325DE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A54C6">
        <w:rPr>
          <w:rFonts w:ascii="Times New Roman" w:hAnsi="Times New Roman"/>
          <w:bCs/>
          <w:sz w:val="28"/>
          <w:szCs w:val="28"/>
        </w:rPr>
        <w:t>)</w:t>
      </w:r>
      <w:r w:rsidR="001657D1"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A54C6">
        <w:rPr>
          <w:rFonts w:ascii="Times New Roman" w:hAnsi="Times New Roman"/>
          <w:bCs/>
          <w:sz w:val="28"/>
          <w:szCs w:val="28"/>
        </w:rPr>
        <w:t>)</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A54C6">
        <w:rPr>
          <w:rFonts w:ascii="Times New Roman" w:hAnsi="Times New Roman"/>
          <w:bCs/>
          <w:sz w:val="28"/>
          <w:szCs w:val="28"/>
        </w:rPr>
        <w:t>)</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w:t>
      </w:r>
      <w:r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w:t>
      </w:r>
    </w:p>
    <w:p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Решение об оставлении заявления о внесении изменений, уведомления без рассмотрения направляется заявителю по 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CA54C6">
        <w:rPr>
          <w:rFonts w:ascii="Times New Roman" w:hAnsi="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по 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54398" w:rsidRPr="00E54398">
        <w:rPr>
          <w:rFonts w:ascii="Times New Roman" w:hAnsi="Times New Roman"/>
          <w:iCs/>
          <w:sz w:val="28"/>
          <w:szCs w:val="28"/>
        </w:rPr>
        <w:t>Архангельской области</w:t>
      </w:r>
      <w:r w:rsidRPr="00325DE3">
        <w:rPr>
          <w:rFonts w:ascii="Times New Roman" w:hAnsi="Times New Roman"/>
          <w:sz w:val="28"/>
          <w:szCs w:val="28"/>
        </w:rPr>
        <w:t xml:space="preserve"> и нормативных правовых актов органов местного самоуправления </w:t>
      </w:r>
      <w:r w:rsidR="00E54398" w:rsidRPr="00E54398">
        <w:rPr>
          <w:rFonts w:ascii="Times New Roman" w:hAnsi="Times New Roman"/>
          <w:iCs/>
          <w:sz w:val="28"/>
          <w:szCs w:val="28"/>
        </w:rPr>
        <w:t>Мезенского муниципального округа Архангельской области</w:t>
      </w:r>
      <w:r w:rsidRPr="00325DE3">
        <w:rPr>
          <w:rFonts w:ascii="Times New Roman" w:hAnsi="Times New Roman"/>
          <w:i/>
          <w:iCs/>
          <w:sz w:val="28"/>
          <w:szCs w:val="28"/>
        </w:rPr>
        <w:t>;</w:t>
      </w:r>
    </w:p>
    <w:p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54398" w:rsidRPr="00E54398">
        <w:rPr>
          <w:rFonts w:ascii="Times New Roman" w:hAnsi="Times New Roman"/>
          <w:iCs/>
          <w:sz w:val="28"/>
          <w:szCs w:val="28"/>
        </w:rPr>
        <w:t>Архангельской области</w:t>
      </w:r>
      <w:r w:rsidR="00CE6C97" w:rsidRPr="00325DE3">
        <w:rPr>
          <w:rFonts w:ascii="Times New Roman" w:hAnsi="Times New Roman"/>
          <w:sz w:val="28"/>
          <w:szCs w:val="28"/>
        </w:rPr>
        <w:t xml:space="preserve"> и нормативных правовых актов органов местного самоуправления </w:t>
      </w:r>
      <w:r w:rsidR="00E54398" w:rsidRPr="00E54398">
        <w:rPr>
          <w:rFonts w:ascii="Times New Roman" w:hAnsi="Times New Roman"/>
          <w:iCs/>
          <w:sz w:val="28"/>
          <w:szCs w:val="28"/>
        </w:rPr>
        <w:t>Мезенского муниципального округа Архангельской области</w:t>
      </w:r>
      <w:r w:rsidR="00F8257F" w:rsidRPr="00325DE3">
        <w:rPr>
          <w:rFonts w:ascii="Times New Roman" w:hAnsi="Times New Roman"/>
          <w:i/>
          <w:iCs/>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bCs/>
          <w:sz w:val="28"/>
          <w:szCs w:val="28"/>
        </w:rPr>
        <w:t xml:space="preserve"> </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rsidR="00CE6C97" w:rsidRPr="00325DE3" w:rsidRDefault="00E54398" w:rsidP="0045665F">
      <w:pPr>
        <w:autoSpaceDE w:val="0"/>
        <w:autoSpaceDN w:val="0"/>
        <w:adjustRightInd w:val="0"/>
        <w:spacing w:after="0" w:line="240" w:lineRule="auto"/>
        <w:ind w:firstLine="709"/>
        <w:jc w:val="both"/>
        <w:rPr>
          <w:rFonts w:ascii="Times New Roman" w:hAnsi="Times New Roman"/>
          <w:sz w:val="28"/>
          <w:szCs w:val="28"/>
        </w:rPr>
      </w:pPr>
      <w:hyperlink r:id="rId8" w:history="1">
        <w:r w:rsidRPr="00E54398">
          <w:rPr>
            <w:rFonts w:ascii="Times New Roman" w:hAnsi="Times New Roman"/>
            <w:sz w:val="28"/>
            <w:szCs w:val="28"/>
          </w:rPr>
          <w:t>постановлением</w:t>
        </w:r>
      </w:hyperlink>
      <w:r w:rsidRPr="00E54398">
        <w:rPr>
          <w:rFonts w:ascii="Times New Roman" w:hAnsi="Times New Roman"/>
          <w:sz w:val="28"/>
          <w:szCs w:val="28"/>
        </w:rPr>
        <w:t xml:space="preserve"> </w:t>
      </w:r>
      <w:r w:rsidRPr="00E54398">
        <w:rPr>
          <w:rFonts w:ascii="Times New Roman" w:hAnsi="Times New Roman"/>
          <w:iCs/>
          <w:sz w:val="28"/>
          <w:szCs w:val="28"/>
        </w:rPr>
        <w:t>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E6C97" w:rsidRPr="00325DE3">
        <w:rPr>
          <w:rFonts w:ascii="Times New Roman" w:hAnsi="Times New Roman"/>
          <w:i/>
          <w:iCs/>
          <w:sz w:val="28"/>
          <w:szCs w:val="28"/>
        </w:rPr>
        <w:t>;</w:t>
      </w:r>
    </w:p>
    <w:p w:rsidR="00CE6C97" w:rsidRPr="00325DE3" w:rsidRDefault="003075E0" w:rsidP="0045665F">
      <w:pPr>
        <w:autoSpaceDE w:val="0"/>
        <w:autoSpaceDN w:val="0"/>
        <w:adjustRightInd w:val="0"/>
        <w:spacing w:after="0" w:line="240" w:lineRule="auto"/>
        <w:ind w:firstLine="709"/>
        <w:jc w:val="both"/>
        <w:rPr>
          <w:rFonts w:ascii="Times New Roman" w:hAnsi="Times New Roman"/>
          <w:sz w:val="28"/>
          <w:szCs w:val="28"/>
        </w:rPr>
      </w:pPr>
      <w:hyperlink r:id="rId9"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E8410C" w:rsidRPr="00325DE3" w:rsidRDefault="00E8410C">
      <w:pPr>
        <w:spacing w:after="0" w:line="240" w:lineRule="auto"/>
        <w:rPr>
          <w:rFonts w:ascii="Times New Roman" w:hAnsi="Times New Roman"/>
          <w:b/>
          <w:sz w:val="28"/>
          <w:szCs w:val="28"/>
        </w:rPr>
      </w:pPr>
    </w:p>
    <w:p w:rsidR="00E8410C" w:rsidRPr="00325DE3" w:rsidRDefault="00E8410C" w:rsidP="00E12B42">
      <w:pPr>
        <w:autoSpaceDE w:val="0"/>
        <w:autoSpaceDN w:val="0"/>
        <w:spacing w:after="0" w:line="240" w:lineRule="auto"/>
        <w:jc w:val="center"/>
        <w:rPr>
          <w:rFonts w:ascii="Times New Roman" w:hAnsi="Times New Roman"/>
          <w:sz w:val="28"/>
          <w:szCs w:val="28"/>
        </w:rPr>
      </w:pPr>
    </w:p>
    <w:p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rsidR="00E8410C" w:rsidRPr="00325DE3" w:rsidRDefault="00E8410C">
      <w:pPr>
        <w:spacing w:after="0" w:line="240" w:lineRule="auto"/>
        <w:rPr>
          <w:rFonts w:ascii="Times New Roman" w:hAnsi="Times New Roman"/>
          <w:b/>
          <w:sz w:val="28"/>
          <w:szCs w:val="28"/>
        </w:rPr>
      </w:pPr>
    </w:p>
    <w:p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rsidR="006A0225" w:rsidRDefault="006A0225" w:rsidP="009328E7">
      <w:pPr>
        <w:autoSpaceDE w:val="0"/>
        <w:autoSpaceDN w:val="0"/>
        <w:spacing w:before="240" w:after="0" w:line="240" w:lineRule="auto"/>
        <w:jc w:val="center"/>
        <w:rPr>
          <w:rFonts w:ascii="Times New Roman" w:hAnsi="Times New Roman"/>
          <w:sz w:val="28"/>
          <w:szCs w:val="28"/>
        </w:rPr>
      </w:pPr>
    </w:p>
    <w:p w:rsidR="00876B9D" w:rsidRPr="00325DE3" w:rsidRDefault="00876B9D" w:rsidP="009328E7">
      <w:pPr>
        <w:autoSpaceDE w:val="0"/>
        <w:autoSpaceDN w:val="0"/>
        <w:spacing w:before="240" w:after="0" w:line="240" w:lineRule="auto"/>
        <w:jc w:val="center"/>
        <w:rPr>
          <w:rFonts w:ascii="Times New Roman" w:hAnsi="Times New Roman"/>
          <w:b/>
          <w:sz w:val="28"/>
          <w:szCs w:val="28"/>
        </w:rPr>
      </w:pPr>
    </w:p>
    <w:p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rsidR="006A0225" w:rsidRPr="00325DE3" w:rsidRDefault="006A0225" w:rsidP="009328E7">
      <w:pPr>
        <w:autoSpaceDE w:val="0"/>
        <w:autoSpaceDN w:val="0"/>
        <w:spacing w:after="0" w:line="240" w:lineRule="auto"/>
        <w:jc w:val="center"/>
        <w:rPr>
          <w:rFonts w:ascii="Times New Roman" w:hAnsi="Times New Roman"/>
          <w:b/>
          <w:sz w:val="28"/>
          <w:szCs w:val="28"/>
        </w:rPr>
      </w:pPr>
    </w:p>
    <w:p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spacing w:after="0" w:line="240" w:lineRule="auto"/>
        <w:jc w:val="right"/>
        <w:rPr>
          <w:rFonts w:ascii="Times New Roman" w:hAnsi="Times New Roman"/>
          <w:sz w:val="24"/>
          <w:szCs w:val="24"/>
        </w:rPr>
      </w:pPr>
    </w:p>
    <w:p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rsidTr="006A0225">
        <w:trPr>
          <w:trHeight w:val="540"/>
        </w:trPr>
        <w:tc>
          <w:tcPr>
            <w:tcW w:w="9923" w:type="dxa"/>
            <w:gridSpan w:val="5"/>
            <w:tcBorders>
              <w:top w:val="nil"/>
              <w:left w:val="nil"/>
              <w:right w:val="nil"/>
            </w:tcBorders>
          </w:tcPr>
          <w:p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1C619D" w:rsidRPr="00325DE3">
              <w:rPr>
                <w:rFonts w:ascii="Times New Roman" w:eastAsia="Calibri" w:hAnsi="Times New Roman"/>
                <w:sz w:val="28"/>
                <w:szCs w:val="28"/>
                <w:lang w:eastAsia="en-US"/>
              </w:rPr>
              <w:t>3</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5"/>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825"/>
        </w:trPr>
        <w:tc>
          <w:tcPr>
            <w:tcW w:w="9923" w:type="dxa"/>
            <w:gridSpan w:val="5"/>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rsidTr="006A0225">
        <w:trPr>
          <w:trHeight w:val="600"/>
        </w:trPr>
        <w:tc>
          <w:tcPr>
            <w:tcW w:w="1110"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0"/>
        </w:trPr>
        <w:tc>
          <w:tcPr>
            <w:tcW w:w="1110"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4050" w:type="dxa"/>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p>
        </w:tc>
      </w:tr>
    </w:tbl>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bl>
    <w:p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rsidTr="006A0225">
        <w:tc>
          <w:tcPr>
            <w:tcW w:w="8784" w:type="dxa"/>
            <w:shd w:val="clear" w:color="auto" w:fill="auto"/>
          </w:tcPr>
          <w:p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адрес:____________________________________</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9918" w:type="dxa"/>
            <w:gridSpan w:val="2"/>
            <w:shd w:val="clear" w:color="auto" w:fill="auto"/>
          </w:tcPr>
          <w:p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A0225" w:rsidRPr="00325DE3" w:rsidRDefault="006A0225" w:rsidP="009328E7">
      <w:pPr>
        <w:autoSpaceDE w:val="0"/>
        <w:autoSpaceDN w:val="0"/>
        <w:spacing w:before="120" w:after="120" w:line="240" w:lineRule="auto"/>
        <w:jc w:val="both"/>
        <w:rPr>
          <w:rFonts w:ascii="Times New Roman" w:hAnsi="Times New Roman"/>
          <w:sz w:val="24"/>
          <w:szCs w:val="24"/>
        </w:rPr>
      </w:pPr>
    </w:p>
    <w:p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rsidTr="006A0225">
        <w:tc>
          <w:tcPr>
            <w:tcW w:w="3119" w:type="dxa"/>
            <w:tcBorders>
              <w:top w:val="nil"/>
              <w:left w:val="nil"/>
              <w:right w:val="nil"/>
            </w:tcBorders>
            <w:vAlign w:val="bottom"/>
          </w:tcPr>
          <w:p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rPr>
          <w:rFonts w:ascii="Times New Roman" w:hAnsi="Times New Roman"/>
          <w:sz w:val="24"/>
          <w:szCs w:val="24"/>
        </w:rPr>
      </w:pPr>
    </w:p>
    <w:p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rsidTr="005F5E19">
        <w:trPr>
          <w:trHeight w:val="165"/>
        </w:trPr>
        <w:tc>
          <w:tcPr>
            <w:tcW w:w="9780"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780"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780"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20"/>
                <w:szCs w:val="20"/>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rsidTr="005F5E19">
        <w:trPr>
          <w:trHeight w:val="540"/>
        </w:trPr>
        <w:tc>
          <w:tcPr>
            <w:tcW w:w="9923" w:type="dxa"/>
            <w:gridSpan w:val="6"/>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trHeight w:val="60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428"/>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753"/>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66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279"/>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7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901"/>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825"/>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rsidTr="005F5E19">
        <w:trPr>
          <w:trHeight w:val="600"/>
        </w:trPr>
        <w:tc>
          <w:tcPr>
            <w:tcW w:w="1110" w:type="dxa"/>
            <w:gridSpan w:val="2"/>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750"/>
        </w:trPr>
        <w:tc>
          <w:tcPr>
            <w:tcW w:w="1110" w:type="dxa"/>
            <w:gridSpan w:val="2"/>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rsidR="00244FDC" w:rsidRPr="00325DE3" w:rsidRDefault="00244FDC" w:rsidP="005F5E19">
            <w:pPr>
              <w:spacing w:after="160" w:line="259" w:lineRule="auto"/>
              <w:rPr>
                <w:rFonts w:ascii="Times New Roman" w:eastAsia="Calibri" w:hAnsi="Times New Roman"/>
                <w:lang w:eastAsia="en-US"/>
              </w:rPr>
            </w:pPr>
          </w:p>
        </w:tc>
      </w:tr>
    </w:tbl>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bl>
    <w:p w:rsidR="00244FDC" w:rsidRPr="00325DE3" w:rsidRDefault="00244FDC" w:rsidP="00244FDC">
      <w:pPr>
        <w:spacing w:after="0" w:line="240" w:lineRule="auto"/>
        <w:rPr>
          <w:rFonts w:ascii="Times New Roman" w:hAnsi="Times New Roman"/>
          <w:sz w:val="24"/>
          <w:szCs w:val="24"/>
        </w:rPr>
      </w:pP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rsidR="00244FDC" w:rsidRDefault="00244FDC" w:rsidP="00244FDC">
      <w:pPr>
        <w:autoSpaceDE w:val="0"/>
        <w:autoSpaceDN w:val="0"/>
        <w:spacing w:before="240" w:after="0" w:line="240" w:lineRule="auto"/>
        <w:jc w:val="center"/>
        <w:rPr>
          <w:rFonts w:ascii="Times New Roman" w:hAnsi="Times New Roman"/>
          <w:sz w:val="28"/>
          <w:szCs w:val="28"/>
        </w:rPr>
      </w:pPr>
    </w:p>
    <w:p w:rsidR="00876B9D" w:rsidRPr="00325DE3" w:rsidRDefault="00876B9D" w:rsidP="00244FDC">
      <w:pPr>
        <w:autoSpaceDE w:val="0"/>
        <w:autoSpaceDN w:val="0"/>
        <w:spacing w:before="240" w:after="0" w:line="240" w:lineRule="auto"/>
        <w:jc w:val="center"/>
        <w:rPr>
          <w:rFonts w:ascii="Times New Roman" w:hAnsi="Times New Roman"/>
          <w:b/>
          <w:sz w:val="24"/>
          <w:szCs w:val="24"/>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rsidTr="005F5E19">
        <w:trPr>
          <w:trHeight w:val="165"/>
        </w:trPr>
        <w:tc>
          <w:tcPr>
            <w:tcW w:w="9961"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961"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961"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18"/>
                <w:szCs w:val="18"/>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rsidTr="005F5E19">
        <w:trPr>
          <w:trHeight w:val="540"/>
        </w:trPr>
        <w:tc>
          <w:tcPr>
            <w:tcW w:w="9902" w:type="dxa"/>
            <w:gridSpan w:val="5"/>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gridAfter w:val="1"/>
          <w:wAfter w:w="16" w:type="dxa"/>
          <w:trHeight w:val="60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428"/>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753"/>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66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279"/>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7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901"/>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trHeight w:val="1093"/>
        </w:trPr>
        <w:tc>
          <w:tcPr>
            <w:tcW w:w="9902" w:type="dxa"/>
            <w:gridSpan w:val="5"/>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rsidTr="005F5E19">
        <w:trPr>
          <w:gridAfter w:val="1"/>
          <w:wAfter w:w="16" w:type="dxa"/>
          <w:trHeight w:val="622"/>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bl>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325DE3" w:rsidRDefault="00244FDC" w:rsidP="00244FDC">
      <w:pPr>
        <w:spacing w:after="0"/>
        <w:rPr>
          <w:rFonts w:ascii="Times New Roman" w:hAnsi="Times New Roman"/>
          <w:sz w:val="24"/>
          <w:szCs w:val="24"/>
        </w:rPr>
      </w:pP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244FDC" w:rsidRPr="00325DE3" w:rsidRDefault="00244FDC" w:rsidP="00244FDC">
      <w:pPr>
        <w:tabs>
          <w:tab w:val="left" w:pos="1968"/>
        </w:tabs>
        <w:spacing w:after="0" w:line="240" w:lineRule="auto"/>
        <w:rPr>
          <w:rFonts w:ascii="Times New Roman" w:hAnsi="Times New Roman"/>
          <w:sz w:val="28"/>
          <w:szCs w:val="28"/>
        </w:rPr>
      </w:pPr>
    </w:p>
    <w:p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p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sz w:val="28"/>
          <w:szCs w:val="28"/>
          <w:lang w:eastAsia="en-US"/>
        </w:rPr>
      </w:pPr>
    </w:p>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rsidR="006A0225" w:rsidRDefault="006A0225" w:rsidP="009328E7">
      <w:pPr>
        <w:autoSpaceDE w:val="0"/>
        <w:autoSpaceDN w:val="0"/>
        <w:spacing w:before="240" w:after="0" w:line="240" w:lineRule="auto"/>
        <w:ind w:left="6237"/>
        <w:jc w:val="center"/>
        <w:rPr>
          <w:rFonts w:ascii="Times New Roman" w:hAnsi="Times New Roman"/>
          <w:sz w:val="28"/>
          <w:szCs w:val="28"/>
        </w:rPr>
      </w:pPr>
    </w:p>
    <w:p w:rsidR="00876B9D" w:rsidRPr="00325DE3" w:rsidRDefault="00876B9D" w:rsidP="009328E7">
      <w:pPr>
        <w:autoSpaceDE w:val="0"/>
        <w:autoSpaceDN w:val="0"/>
        <w:spacing w:before="240" w:after="0" w:line="240" w:lineRule="auto"/>
        <w:ind w:left="6237"/>
        <w:jc w:val="center"/>
        <w:rPr>
          <w:rFonts w:ascii="Times New Roman" w:hAnsi="Times New Roman"/>
          <w:b/>
          <w:sz w:val="28"/>
          <w:szCs w:val="28"/>
        </w:rPr>
      </w:pPr>
    </w:p>
    <w:p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rsidTr="006A0225">
        <w:trPr>
          <w:trHeight w:val="540"/>
        </w:trPr>
        <w:tc>
          <w:tcPr>
            <w:tcW w:w="9923" w:type="dxa"/>
            <w:gridSpan w:val="6"/>
            <w:tcBorders>
              <w:top w:val="nil"/>
              <w:left w:val="nil"/>
              <w:right w:val="nil"/>
            </w:tcBorders>
          </w:tcPr>
          <w:p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rsidTr="006A0225">
        <w:trPr>
          <w:trHeight w:val="622"/>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825"/>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p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rsidTr="006A0225">
        <w:trPr>
          <w:trHeight w:val="60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bl>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rsidTr="006A0225">
        <w:tc>
          <w:tcPr>
            <w:tcW w:w="8784" w:type="dxa"/>
            <w:gridSpan w:val="5"/>
            <w:shd w:val="clear" w:color="auto" w:fill="auto"/>
          </w:tcPr>
          <w:p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rsidTr="006A0225">
        <w:tc>
          <w:tcPr>
            <w:tcW w:w="9918" w:type="dxa"/>
            <w:gridSpan w:val="6"/>
            <w:shd w:val="clear" w:color="auto" w:fill="auto"/>
          </w:tcPr>
          <w:p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p>
    <w:p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rsidR="006E3B23" w:rsidRPr="00325DE3" w:rsidRDefault="006E3B23" w:rsidP="006E3B23">
      <w:pPr>
        <w:autoSpaceDE w:val="0"/>
        <w:autoSpaceDN w:val="0"/>
        <w:spacing w:after="0" w:line="240" w:lineRule="auto"/>
        <w:jc w:val="center"/>
        <w:rPr>
          <w:rFonts w:ascii="Times New Roman" w:hAnsi="Times New Roman"/>
          <w:b/>
          <w:sz w:val="28"/>
          <w:szCs w:val="28"/>
        </w:rPr>
      </w:pPr>
    </w:p>
    <w:p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rsidTr="005F5E19">
        <w:trPr>
          <w:trHeight w:val="165"/>
        </w:trPr>
        <w:tc>
          <w:tcPr>
            <w:tcW w:w="9961" w:type="dxa"/>
            <w:tcBorders>
              <w:top w:val="nil"/>
              <w:left w:val="nil"/>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26"/>
        </w:trPr>
        <w:tc>
          <w:tcPr>
            <w:tcW w:w="9961" w:type="dxa"/>
            <w:tcBorders>
              <w:left w:val="nil"/>
              <w:bottom w:val="single" w:sz="4" w:space="0" w:color="auto"/>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35"/>
        </w:trPr>
        <w:tc>
          <w:tcPr>
            <w:tcW w:w="9961" w:type="dxa"/>
            <w:tcBorders>
              <w:left w:val="nil"/>
              <w:bottom w:val="nil"/>
              <w:right w:val="nil"/>
            </w:tcBorders>
          </w:tcPr>
          <w:p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E3B23" w:rsidRPr="00325DE3" w:rsidRDefault="006E3B23" w:rsidP="005F5E19">
            <w:pPr>
              <w:autoSpaceDE w:val="0"/>
              <w:autoSpaceDN w:val="0"/>
              <w:spacing w:after="0" w:line="240" w:lineRule="auto"/>
              <w:jc w:val="center"/>
              <w:rPr>
                <w:rFonts w:ascii="Times New Roman" w:hAnsi="Times New Roman"/>
                <w:sz w:val="18"/>
                <w:szCs w:val="18"/>
              </w:rPr>
            </w:pPr>
          </w:p>
        </w:tc>
      </w:tr>
    </w:tbl>
    <w:p w:rsidR="006E3B23" w:rsidRPr="00325DE3" w:rsidRDefault="006E3B23" w:rsidP="006E3B23">
      <w:pPr>
        <w:autoSpaceDE w:val="0"/>
        <w:autoSpaceDN w:val="0"/>
        <w:spacing w:after="0" w:line="240" w:lineRule="auto"/>
        <w:jc w:val="right"/>
        <w:rPr>
          <w:rFonts w:ascii="Times New Roman" w:hAnsi="Times New Roman"/>
          <w:sz w:val="24"/>
          <w:szCs w:val="24"/>
        </w:rPr>
      </w:pPr>
    </w:p>
    <w:p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rsidTr="005F5E19">
        <w:trPr>
          <w:trHeight w:val="540"/>
        </w:trPr>
        <w:tc>
          <w:tcPr>
            <w:tcW w:w="9923" w:type="dxa"/>
            <w:gridSpan w:val="4"/>
            <w:tcBorders>
              <w:top w:val="nil"/>
              <w:left w:val="nil"/>
              <w:right w:val="nil"/>
            </w:tcBorders>
          </w:tcPr>
          <w:p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rsidTr="005F5E19">
        <w:trPr>
          <w:trHeight w:val="60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428"/>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753"/>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66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279"/>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7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01"/>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030"/>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34"/>
        </w:trPr>
        <w:tc>
          <w:tcPr>
            <w:tcW w:w="9923" w:type="dxa"/>
            <w:gridSpan w:val="4"/>
            <w:tcBorders>
              <w:left w:val="nil"/>
              <w:right w:val="nil"/>
            </w:tcBorders>
          </w:tcPr>
          <w:p w:rsidR="006E3B23" w:rsidRPr="00325DE3" w:rsidRDefault="006E3B23" w:rsidP="005F5E19">
            <w:pPr>
              <w:spacing w:after="160" w:line="259" w:lineRule="auto"/>
              <w:contextualSpacing/>
              <w:rPr>
                <w:rFonts w:ascii="Times New Roman" w:eastAsia="Calibri" w:hAnsi="Times New Roman"/>
                <w:b/>
                <w:sz w:val="28"/>
                <w:szCs w:val="28"/>
                <w:lang w:eastAsia="en-US"/>
              </w:rPr>
            </w:pPr>
          </w:p>
          <w:p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rsidTr="005F5E19">
        <w:trPr>
          <w:trHeight w:val="837"/>
        </w:trPr>
        <w:tc>
          <w:tcPr>
            <w:tcW w:w="1043" w:type="dxa"/>
            <w:tcBorders>
              <w:bottom w:val="single" w:sz="4" w:space="0" w:color="auto"/>
            </w:tcBorders>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rsidTr="005F5E19">
        <w:trPr>
          <w:trHeight w:val="867"/>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rsidR="006E3B23" w:rsidRPr="00325DE3" w:rsidRDefault="006E3B23" w:rsidP="005F5E19">
            <w:pPr>
              <w:spacing w:after="160" w:line="259" w:lineRule="auto"/>
              <w:rPr>
                <w:rFonts w:ascii="Times New Roman" w:eastAsia="Calibri" w:hAnsi="Times New Roman"/>
                <w:sz w:val="28"/>
                <w:szCs w:val="28"/>
                <w:lang w:eastAsia="en-US"/>
              </w:rPr>
            </w:pPr>
          </w:p>
        </w:tc>
      </w:tr>
    </w:tbl>
    <w:p w:rsidR="006E3B23" w:rsidRPr="00325DE3" w:rsidRDefault="006E3B23" w:rsidP="006E3B23">
      <w:pPr>
        <w:spacing w:after="0"/>
        <w:ind w:right="423"/>
        <w:jc w:val="both"/>
        <w:rPr>
          <w:rFonts w:ascii="Times New Roman" w:hAnsi="Times New Roman"/>
          <w:sz w:val="24"/>
          <w:szCs w:val="24"/>
        </w:rPr>
      </w:pP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9918" w:type="dxa"/>
            <w:gridSpan w:val="2"/>
            <w:shd w:val="clear" w:color="auto" w:fill="auto"/>
          </w:tcPr>
          <w:p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rsidTr="005F5E19">
        <w:tc>
          <w:tcPr>
            <w:tcW w:w="3119" w:type="dxa"/>
            <w:tcBorders>
              <w:top w:val="nil"/>
              <w:left w:val="nil"/>
              <w:right w:val="nil"/>
            </w:tcBorders>
            <w:vAlign w:val="bottom"/>
          </w:tcPr>
          <w:p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r>
      <w:tr w:rsidR="006E3B23" w:rsidRPr="00325DE3" w:rsidTr="005F5E19">
        <w:tc>
          <w:tcPr>
            <w:tcW w:w="3119" w:type="dxa"/>
            <w:tcBorders>
              <w:left w:val="nil"/>
              <w:bottom w:val="nil"/>
              <w:right w:val="nil"/>
            </w:tcBorders>
          </w:tcPr>
          <w:p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E3B23" w:rsidRPr="00325DE3" w:rsidRDefault="006E3B23" w:rsidP="006E3B23">
      <w:pPr>
        <w:rPr>
          <w:rFonts w:ascii="Times New Roman" w:hAnsi="Times New Roman"/>
          <w:sz w:val="24"/>
          <w:szCs w:val="24"/>
        </w:rPr>
      </w:pPr>
    </w:p>
    <w:p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br w:type="page"/>
      </w:r>
      <w:r w:rsidR="00D00066" w:rsidRPr="00325DE3">
        <w:rPr>
          <w:rFonts w:ascii="Times New Roman" w:eastAsia="Calibri" w:hAnsi="Times New Roman"/>
          <w:sz w:val="28"/>
          <w:szCs w:val="28"/>
          <w:lang w:eastAsia="en-US"/>
        </w:rPr>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rsidR="00D00066" w:rsidRDefault="00D00066" w:rsidP="00D00066">
      <w:pPr>
        <w:spacing w:before="240" w:after="0" w:line="240" w:lineRule="auto"/>
        <w:jc w:val="center"/>
        <w:rPr>
          <w:rFonts w:ascii="Times New Roman" w:hAnsi="Times New Roman"/>
          <w:sz w:val="28"/>
          <w:szCs w:val="28"/>
        </w:rPr>
      </w:pPr>
    </w:p>
    <w:p w:rsidR="00876B9D" w:rsidRPr="00325DE3" w:rsidRDefault="00876B9D"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rsidR="00D00066" w:rsidRPr="00325DE3" w:rsidRDefault="00D00066" w:rsidP="00D00066">
      <w:pPr>
        <w:autoSpaceDE w:val="0"/>
        <w:autoSpaceDN w:val="0"/>
        <w:spacing w:after="0" w:line="240" w:lineRule="auto"/>
        <w:jc w:val="center"/>
        <w:rPr>
          <w:rFonts w:ascii="Times New Roman" w:hAnsi="Times New Roman"/>
          <w:b/>
          <w:sz w:val="24"/>
          <w:szCs w:val="24"/>
        </w:rPr>
      </w:pPr>
    </w:p>
    <w:p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rsidTr="005F5E19">
        <w:trPr>
          <w:trHeight w:val="165"/>
        </w:trPr>
        <w:tc>
          <w:tcPr>
            <w:tcW w:w="9961" w:type="dxa"/>
            <w:tcBorders>
              <w:top w:val="nil"/>
              <w:left w:val="nil"/>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26"/>
        </w:trPr>
        <w:tc>
          <w:tcPr>
            <w:tcW w:w="9961" w:type="dxa"/>
            <w:tcBorders>
              <w:left w:val="nil"/>
              <w:bottom w:val="single" w:sz="4" w:space="0" w:color="auto"/>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35"/>
        </w:trPr>
        <w:tc>
          <w:tcPr>
            <w:tcW w:w="9961" w:type="dxa"/>
            <w:tcBorders>
              <w:left w:val="nil"/>
              <w:bottom w:val="nil"/>
              <w:right w:val="nil"/>
            </w:tcBorders>
          </w:tcPr>
          <w:p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D00066" w:rsidRPr="00325DE3" w:rsidRDefault="00D00066" w:rsidP="005F5E19">
            <w:pPr>
              <w:autoSpaceDE w:val="0"/>
              <w:autoSpaceDN w:val="0"/>
              <w:spacing w:after="0" w:line="240" w:lineRule="auto"/>
              <w:jc w:val="center"/>
              <w:rPr>
                <w:rFonts w:ascii="Times New Roman" w:hAnsi="Times New Roman"/>
                <w:sz w:val="18"/>
                <w:szCs w:val="18"/>
              </w:rPr>
            </w:pPr>
          </w:p>
        </w:tc>
      </w:tr>
    </w:tbl>
    <w:p w:rsidR="00D00066" w:rsidRPr="00325DE3" w:rsidRDefault="00D00066" w:rsidP="00D00066">
      <w:pPr>
        <w:autoSpaceDE w:val="0"/>
        <w:autoSpaceDN w:val="0"/>
        <w:spacing w:after="0" w:line="240" w:lineRule="auto"/>
        <w:jc w:val="right"/>
        <w:rPr>
          <w:rFonts w:ascii="Times New Roman" w:hAnsi="Times New Roman"/>
          <w:sz w:val="24"/>
          <w:szCs w:val="24"/>
        </w:rPr>
      </w:pPr>
    </w:p>
    <w:p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rsidTr="005F5E19">
        <w:trPr>
          <w:trHeight w:val="540"/>
        </w:trPr>
        <w:tc>
          <w:tcPr>
            <w:tcW w:w="9923" w:type="dxa"/>
            <w:gridSpan w:val="6"/>
            <w:tcBorders>
              <w:top w:val="nil"/>
              <w:left w:val="nil"/>
              <w:right w:val="nil"/>
            </w:tcBorders>
          </w:tcPr>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rsidTr="005F5E19">
        <w:trPr>
          <w:trHeight w:val="60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428"/>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75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66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279"/>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7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901"/>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contextualSpacing/>
              <w:rPr>
                <w:rFonts w:ascii="Times New Roman" w:eastAsia="Calibri" w:hAnsi="Times New Roman"/>
                <w:sz w:val="28"/>
                <w:szCs w:val="28"/>
                <w:lang w:eastAsia="en-US"/>
              </w:rPr>
            </w:pPr>
          </w:p>
          <w:p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rPr>
                <w:rFonts w:ascii="Times New Roman" w:eastAsia="Calibri" w:hAnsi="Times New Roman"/>
                <w:sz w:val="28"/>
                <w:szCs w:val="28"/>
                <w:lang w:eastAsia="en-US"/>
              </w:rPr>
            </w:pPr>
          </w:p>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r>
    </w:tbl>
    <w:p w:rsidR="00D00066" w:rsidRPr="00325DE3" w:rsidRDefault="00D00066" w:rsidP="00D00066">
      <w:pPr>
        <w:spacing w:after="0"/>
        <w:ind w:right="423"/>
        <w:jc w:val="both"/>
        <w:rPr>
          <w:rFonts w:ascii="Times New Roman" w:hAnsi="Times New Roman"/>
          <w:sz w:val="24"/>
          <w:szCs w:val="24"/>
        </w:rPr>
      </w:pP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9918" w:type="dxa"/>
            <w:gridSpan w:val="6"/>
            <w:shd w:val="clear" w:color="auto" w:fill="auto"/>
          </w:tcPr>
          <w:p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ПРИЛОЖЕНИЕ № </w:t>
      </w:r>
      <w:r w:rsidR="002C1A1F" w:rsidRPr="00325DE3">
        <w:rPr>
          <w:rFonts w:ascii="Times New Roman" w:hAnsi="Times New Roman"/>
          <w:sz w:val="28"/>
          <w:szCs w:val="28"/>
        </w:rPr>
        <w:t>8</w:t>
      </w:r>
    </w:p>
    <w:p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rsidR="00302DEA" w:rsidRPr="00325DE3" w:rsidRDefault="00302DEA" w:rsidP="009328E7">
      <w:pPr>
        <w:pStyle w:val="a5"/>
        <w:ind w:left="5670"/>
        <w:jc w:val="center"/>
        <w:rPr>
          <w:rFonts w:ascii="Times New Roman" w:hAnsi="Times New Roman"/>
          <w:sz w:val="28"/>
          <w:szCs w:val="28"/>
        </w:rPr>
      </w:pPr>
    </w:p>
    <w:p w:rsidR="006A0225" w:rsidRDefault="006A0225" w:rsidP="009328E7">
      <w:pPr>
        <w:spacing w:line="240" w:lineRule="auto"/>
        <w:jc w:val="right"/>
        <w:rPr>
          <w:rFonts w:ascii="Times New Roman" w:hAnsi="Times New Roman"/>
          <w:sz w:val="28"/>
          <w:szCs w:val="28"/>
        </w:rPr>
      </w:pPr>
    </w:p>
    <w:p w:rsidR="00876B9D" w:rsidRPr="00325DE3" w:rsidRDefault="00876B9D" w:rsidP="009328E7">
      <w:pPr>
        <w:spacing w:line="240" w:lineRule="auto"/>
        <w:jc w:val="right"/>
        <w:rPr>
          <w:rFonts w:ascii="Times New Roman" w:hAnsi="Times New Roman"/>
          <w:sz w:val="28"/>
          <w:szCs w:val="28"/>
        </w:rPr>
      </w:pPr>
    </w:p>
    <w:p w:rsidR="00302DEA" w:rsidRPr="00325DE3" w:rsidRDefault="00302DEA" w:rsidP="009328E7">
      <w:pPr>
        <w:spacing w:line="240" w:lineRule="auto"/>
        <w:jc w:val="right"/>
        <w:rPr>
          <w:rFonts w:ascii="Times New Roman" w:hAnsi="Times New Roman"/>
          <w:sz w:val="28"/>
          <w:szCs w:val="28"/>
        </w:rPr>
      </w:pPr>
    </w:p>
    <w:p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A0225" w:rsidRPr="00325DE3" w:rsidRDefault="006A0225" w:rsidP="009328E7">
      <w:pPr>
        <w:spacing w:line="240" w:lineRule="auto"/>
        <w:jc w:val="right"/>
        <w:rPr>
          <w:rFonts w:ascii="Times New Roman" w:hAnsi="Times New Roman"/>
          <w:sz w:val="24"/>
        </w:rPr>
      </w:pPr>
    </w:p>
    <w:p w:rsidR="007877DC" w:rsidRPr="00325DE3" w:rsidRDefault="007877DC" w:rsidP="009328E7">
      <w:pPr>
        <w:spacing w:line="240" w:lineRule="auto"/>
        <w:jc w:val="right"/>
        <w:rPr>
          <w:rFonts w:ascii="Times New Roman" w:hAnsi="Times New Roman"/>
          <w:sz w:val="24"/>
        </w:rPr>
      </w:pPr>
    </w:p>
    <w:p w:rsidR="006A0225" w:rsidRPr="00325DE3" w:rsidRDefault="006A0225" w:rsidP="009328E7">
      <w:pPr>
        <w:spacing w:line="240" w:lineRule="auto"/>
        <w:jc w:val="right"/>
        <w:rPr>
          <w:rFonts w:ascii="Times New Roman" w:hAnsi="Times New Roman"/>
          <w:sz w:val="24"/>
        </w:rPr>
      </w:pPr>
    </w:p>
    <w:p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rsidTr="00080D07">
        <w:trPr>
          <w:trHeight w:val="126"/>
        </w:trPr>
        <w:tc>
          <w:tcPr>
            <w:tcW w:w="9780" w:type="dxa"/>
          </w:tcPr>
          <w:p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rsidTr="00080D07">
        <w:trPr>
          <w:trHeight w:val="135"/>
        </w:trPr>
        <w:tc>
          <w:tcPr>
            <w:tcW w:w="9780" w:type="dxa"/>
          </w:tcPr>
          <w:p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FC04CD" w:rsidRPr="00325DE3" w:rsidRDefault="00FC04CD" w:rsidP="009301BF">
            <w:pPr>
              <w:autoSpaceDE w:val="0"/>
              <w:autoSpaceDN w:val="0"/>
              <w:spacing w:after="0" w:line="240" w:lineRule="auto"/>
              <w:jc w:val="center"/>
              <w:rPr>
                <w:rFonts w:ascii="Times New Roman" w:hAnsi="Times New Roman"/>
                <w:sz w:val="20"/>
                <w:szCs w:val="20"/>
              </w:rPr>
            </w:pPr>
          </w:p>
        </w:tc>
      </w:tr>
    </w:tbl>
    <w:p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rsidTr="00D82839">
        <w:tc>
          <w:tcPr>
            <w:tcW w:w="1985" w:type="dxa"/>
          </w:tcPr>
          <w:p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rsidTr="00D82839">
        <w:trPr>
          <w:trHeight w:val="806"/>
        </w:trPr>
        <w:tc>
          <w:tcPr>
            <w:tcW w:w="1985" w:type="dxa"/>
          </w:tcPr>
          <w:p w:rsidR="00D85C0D" w:rsidRPr="00325DE3" w:rsidRDefault="00D85C0D"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rsidTr="00D82839">
        <w:trPr>
          <w:trHeight w:val="806"/>
        </w:trPr>
        <w:tc>
          <w:tcPr>
            <w:tcW w:w="1985" w:type="dxa"/>
          </w:tcPr>
          <w:p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rsidTr="00D82839">
        <w:trPr>
          <w:trHeight w:val="806"/>
        </w:trPr>
        <w:tc>
          <w:tcPr>
            <w:tcW w:w="1985" w:type="dxa"/>
          </w:tcPr>
          <w:p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rsidTr="00D82839">
        <w:trPr>
          <w:trHeight w:val="1457"/>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325DE3" w:rsidRDefault="00FC62D7" w:rsidP="009328E7">
            <w:pPr>
              <w:spacing w:line="240" w:lineRule="auto"/>
              <w:rPr>
                <w:rFonts w:ascii="Times New Roman" w:hAnsi="Times New Roman"/>
                <w:sz w:val="24"/>
                <w:szCs w:val="24"/>
              </w:rPr>
            </w:pP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rsidTr="00D82839">
        <w:trPr>
          <w:trHeight w:val="132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rsidTr="00D82839">
        <w:trPr>
          <w:trHeight w:val="156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rsidTr="00D82839">
        <w:trPr>
          <w:trHeight w:val="28"/>
        </w:trPr>
        <w:tc>
          <w:tcPr>
            <w:tcW w:w="1985" w:type="dxa"/>
          </w:tcPr>
          <w:p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6A0225" w:rsidRPr="00325DE3" w:rsidRDefault="006A0225" w:rsidP="009328E7">
      <w:pPr>
        <w:widowControl w:val="0"/>
        <w:spacing w:after="0" w:line="240" w:lineRule="auto"/>
        <w:jc w:val="both"/>
        <w:rPr>
          <w:rFonts w:ascii="Times New Roman" w:hAnsi="Times New Roman"/>
          <w:sz w:val="28"/>
          <w:szCs w:val="28"/>
        </w:rPr>
      </w:pPr>
    </w:p>
    <w:p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информируем:____________________________________________</w:t>
      </w:r>
    </w:p>
    <w:p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rsidTr="006A0225">
        <w:tc>
          <w:tcPr>
            <w:tcW w:w="311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c>
          <w:tcPr>
            <w:tcW w:w="311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spacing w:after="0" w:line="240" w:lineRule="auto"/>
        <w:rPr>
          <w:rFonts w:ascii="Times New Roman" w:hAnsi="Times New Roman"/>
        </w:rPr>
      </w:pPr>
    </w:p>
    <w:p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C1A1F" w:rsidRPr="00325DE3">
        <w:rPr>
          <w:rFonts w:ascii="Times New Roman" w:eastAsia="Calibri" w:hAnsi="Times New Roman"/>
          <w:sz w:val="28"/>
          <w:szCs w:val="28"/>
          <w:lang w:eastAsia="en-US"/>
        </w:rPr>
        <w:t>9</w:t>
      </w:r>
    </w:p>
    <w:p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rsidR="006D3F0B" w:rsidRDefault="006D3F0B" w:rsidP="006D3F0B">
      <w:pPr>
        <w:spacing w:after="0" w:line="240" w:lineRule="auto"/>
        <w:ind w:left="5387"/>
        <w:jc w:val="center"/>
        <w:rPr>
          <w:rFonts w:ascii="Times New Roman" w:hAnsi="Times New Roman"/>
          <w:sz w:val="28"/>
          <w:szCs w:val="28"/>
        </w:rPr>
      </w:pPr>
    </w:p>
    <w:p w:rsidR="00876B9D" w:rsidRPr="00325DE3" w:rsidRDefault="00876B9D"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rsidTr="00C0035A">
        <w:trPr>
          <w:trHeight w:val="871"/>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rsidTr="00C0035A">
        <w:trPr>
          <w:trHeight w:val="1618"/>
        </w:trPr>
        <w:tc>
          <w:tcPr>
            <w:tcW w:w="1418" w:type="dxa"/>
          </w:tcPr>
          <w:p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подпункт "а"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047"/>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9"/>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8"/>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44"/>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5162"/>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"е"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7006"/>
        </w:trPr>
        <w:tc>
          <w:tcPr>
            <w:tcW w:w="1418" w:type="dxa"/>
          </w:tcPr>
          <w:p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rsidTr="00C0035A">
        <w:tc>
          <w:tcPr>
            <w:tcW w:w="3119"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r>
      <w:tr w:rsidR="00325DE3" w:rsidRPr="00325DE3" w:rsidTr="00C0035A">
        <w:tc>
          <w:tcPr>
            <w:tcW w:w="3119"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rsidR="006D3F0B" w:rsidRDefault="006D3F0B" w:rsidP="006D3F0B">
      <w:pPr>
        <w:autoSpaceDE w:val="0"/>
        <w:autoSpaceDN w:val="0"/>
        <w:spacing w:before="240" w:after="0" w:line="240" w:lineRule="auto"/>
        <w:ind w:left="5670"/>
        <w:jc w:val="center"/>
        <w:rPr>
          <w:rFonts w:ascii="Times New Roman" w:hAnsi="Times New Roman"/>
          <w:sz w:val="28"/>
          <w:szCs w:val="28"/>
        </w:rPr>
      </w:pPr>
    </w:p>
    <w:p w:rsidR="00876B9D" w:rsidRPr="00325DE3" w:rsidRDefault="00876B9D" w:rsidP="006D3F0B">
      <w:pPr>
        <w:autoSpaceDE w:val="0"/>
        <w:autoSpaceDN w:val="0"/>
        <w:spacing w:before="240"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sz w:val="24"/>
          <w:szCs w:val="24"/>
        </w:rPr>
      </w:pPr>
    </w:p>
    <w:p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rsidTr="00C0035A">
        <w:trPr>
          <w:trHeight w:val="165"/>
        </w:trPr>
        <w:tc>
          <w:tcPr>
            <w:tcW w:w="9961" w:type="dxa"/>
            <w:tcBorders>
              <w:top w:val="nil"/>
              <w:left w:val="nil"/>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26"/>
        </w:trPr>
        <w:tc>
          <w:tcPr>
            <w:tcW w:w="9961" w:type="dxa"/>
            <w:tcBorders>
              <w:left w:val="nil"/>
              <w:bottom w:val="single" w:sz="4" w:space="0" w:color="auto"/>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35"/>
        </w:trPr>
        <w:tc>
          <w:tcPr>
            <w:tcW w:w="9961" w:type="dxa"/>
            <w:tcBorders>
              <w:left w:val="nil"/>
              <w:bottom w:val="nil"/>
              <w:right w:val="nil"/>
            </w:tcBorders>
          </w:tcPr>
          <w:p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C0035A">
            <w:pPr>
              <w:autoSpaceDE w:val="0"/>
              <w:autoSpaceDN w:val="0"/>
              <w:spacing w:after="0" w:line="240" w:lineRule="auto"/>
              <w:jc w:val="center"/>
              <w:rPr>
                <w:rFonts w:ascii="Times New Roman" w:hAnsi="Times New Roman"/>
                <w:sz w:val="18"/>
                <w:szCs w:val="18"/>
              </w:rPr>
            </w:pPr>
          </w:p>
        </w:tc>
      </w:tr>
    </w:tbl>
    <w:p w:rsidR="006D3F0B" w:rsidRPr="00325DE3" w:rsidRDefault="006D3F0B" w:rsidP="006D3F0B">
      <w:pPr>
        <w:autoSpaceDE w:val="0"/>
        <w:autoSpaceDN w:val="0"/>
        <w:spacing w:after="0" w:line="240" w:lineRule="auto"/>
        <w:jc w:val="right"/>
        <w:rPr>
          <w:rFonts w:ascii="Times New Roman" w:hAnsi="Times New Roman"/>
          <w:sz w:val="24"/>
          <w:szCs w:val="24"/>
        </w:rPr>
      </w:pPr>
    </w:p>
    <w:p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rsidTr="00C0035A">
        <w:trPr>
          <w:trHeight w:val="540"/>
        </w:trPr>
        <w:tc>
          <w:tcPr>
            <w:tcW w:w="9923" w:type="dxa"/>
            <w:gridSpan w:val="3"/>
            <w:tcBorders>
              <w:top w:val="nil"/>
              <w:left w:val="nil"/>
              <w:right w:val="nil"/>
            </w:tcBorders>
          </w:tcPr>
          <w:p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rsidTr="00C0035A">
        <w:trPr>
          <w:trHeight w:val="60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428"/>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75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66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279"/>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7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901"/>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09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bl>
    <w:p w:rsidR="006D3F0B" w:rsidRPr="00325DE3" w:rsidRDefault="006D3F0B" w:rsidP="006D3F0B">
      <w:pPr>
        <w:spacing w:after="0"/>
        <w:ind w:right="423"/>
        <w:jc w:val="both"/>
        <w:rPr>
          <w:rFonts w:ascii="Times New Roman" w:hAnsi="Times New Roman"/>
          <w:sz w:val="24"/>
          <w:szCs w:val="24"/>
        </w:rPr>
      </w:pP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Приложение:___________________________________________________________ </w:t>
      </w: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9918" w:type="dxa"/>
            <w:gridSpan w:val="2"/>
            <w:shd w:val="clear" w:color="auto" w:fill="auto"/>
          </w:tcPr>
          <w:p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D3F0B" w:rsidRPr="00325DE3" w:rsidRDefault="006D3F0B" w:rsidP="006D3F0B">
      <w:pPr>
        <w:autoSpaceDE w:val="0"/>
        <w:autoSpaceDN w:val="0"/>
        <w:spacing w:before="120" w:after="120" w:line="240" w:lineRule="auto"/>
        <w:jc w:val="both"/>
        <w:rPr>
          <w:rFonts w:ascii="Times New Roman" w:hAnsi="Times New Roman"/>
          <w:sz w:val="24"/>
          <w:szCs w:val="24"/>
        </w:rPr>
      </w:pPr>
    </w:p>
    <w:p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rsidTr="00C0035A">
        <w:tc>
          <w:tcPr>
            <w:tcW w:w="3119" w:type="dxa"/>
            <w:tcBorders>
              <w:top w:val="nil"/>
              <w:left w:val="nil"/>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c>
          <w:tcPr>
            <w:tcW w:w="3119" w:type="dxa"/>
            <w:tcBorders>
              <w:left w:val="nil"/>
              <w:bottom w:val="nil"/>
              <w:right w:val="nil"/>
            </w:tcBorders>
          </w:tcPr>
          <w:p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pStyle w:val="a5"/>
        <w:jc w:val="both"/>
        <w:rPr>
          <w:rFonts w:ascii="Times New Roman" w:hAnsi="Times New Roman"/>
          <w:sz w:val="28"/>
          <w:szCs w:val="28"/>
        </w:rPr>
      </w:pP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 xml:space="preserve">ПРИЛОЖЕНИЕ № </w:t>
      </w:r>
      <w:r w:rsidR="002C1A1F" w:rsidRPr="00325DE3">
        <w:rPr>
          <w:rFonts w:ascii="Times New Roman" w:hAnsi="Times New Roman"/>
          <w:sz w:val="28"/>
          <w:szCs w:val="28"/>
        </w:rPr>
        <w:t>11</w:t>
      </w:r>
    </w:p>
    <w:p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bCs/>
          <w:sz w:val="28"/>
          <w:szCs w:val="28"/>
        </w:rPr>
      </w:pPr>
    </w:p>
    <w:p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rsidTr="00C0035A">
        <w:trPr>
          <w:trHeight w:val="754"/>
        </w:trPr>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rPr>
          <w:trHeight w:val="274"/>
        </w:trPr>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12</w:t>
      </w:r>
    </w:p>
    <w:p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rsidR="007877DC" w:rsidRPr="00325DE3" w:rsidRDefault="007877DC" w:rsidP="007668CA">
      <w:pPr>
        <w:pStyle w:val="a5"/>
        <w:ind w:left="5670"/>
        <w:jc w:val="center"/>
        <w:rPr>
          <w:rFonts w:ascii="Times New Roman" w:hAnsi="Times New Roman"/>
          <w:sz w:val="28"/>
          <w:szCs w:val="28"/>
        </w:rPr>
      </w:pPr>
    </w:p>
    <w:p w:rsidR="007877DC" w:rsidRDefault="007877DC" w:rsidP="007668CA">
      <w:pPr>
        <w:pStyle w:val="a5"/>
        <w:ind w:left="5670"/>
        <w:jc w:val="center"/>
        <w:rPr>
          <w:rFonts w:ascii="Times New Roman" w:hAnsi="Times New Roman"/>
          <w:sz w:val="28"/>
          <w:szCs w:val="28"/>
        </w:rPr>
      </w:pPr>
    </w:p>
    <w:p w:rsidR="00876B9D" w:rsidRPr="00325DE3" w:rsidRDefault="00876B9D" w:rsidP="007668CA">
      <w:pPr>
        <w:pStyle w:val="a5"/>
        <w:ind w:left="5670"/>
        <w:jc w:val="center"/>
        <w:rPr>
          <w:rFonts w:ascii="Times New Roman" w:hAnsi="Times New Roman"/>
          <w:sz w:val="28"/>
          <w:szCs w:val="28"/>
        </w:rPr>
      </w:pPr>
    </w:p>
    <w:p w:rsidR="007668CA" w:rsidRPr="00325DE3" w:rsidRDefault="007668CA" w:rsidP="007668CA">
      <w:pPr>
        <w:pStyle w:val="a5"/>
        <w:ind w:left="5387"/>
        <w:jc w:val="center"/>
        <w:rPr>
          <w:rFonts w:ascii="Times New Roman" w:hAnsi="Times New Roman"/>
          <w:sz w:val="28"/>
          <w:szCs w:val="28"/>
        </w:rPr>
      </w:pPr>
    </w:p>
    <w:p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rsidR="00080D07" w:rsidRPr="00325DE3" w:rsidRDefault="00080D07" w:rsidP="007668CA">
      <w:pPr>
        <w:spacing w:after="0" w:line="240" w:lineRule="auto"/>
        <w:jc w:val="both"/>
        <w:rPr>
          <w:rFonts w:ascii="Times New Roman" w:hAnsi="Times New Roman"/>
          <w:sz w:val="24"/>
        </w:rPr>
      </w:pPr>
    </w:p>
    <w:p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rsidTr="00E40EF4">
        <w:trPr>
          <w:trHeight w:val="871"/>
        </w:trPr>
        <w:tc>
          <w:tcPr>
            <w:tcW w:w="1418" w:type="dxa"/>
          </w:tcPr>
          <w:p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 регламента</w:t>
            </w:r>
          </w:p>
        </w:tc>
        <w:tc>
          <w:tcPr>
            <w:tcW w:w="4461" w:type="dxa"/>
          </w:tcPr>
          <w:p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rsidTr="00E40EF4">
        <w:trPr>
          <w:trHeight w:val="1051"/>
        </w:trPr>
        <w:tc>
          <w:tcPr>
            <w:tcW w:w="1418" w:type="dxa"/>
          </w:tcPr>
          <w:p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rsidR="007668CA" w:rsidRPr="00325DE3" w:rsidRDefault="007668CA" w:rsidP="007668CA">
      <w:pPr>
        <w:pStyle w:val="ConsPlusNonformat"/>
        <w:ind w:firstLine="708"/>
        <w:jc w:val="center"/>
        <w:rPr>
          <w:rFonts w:ascii="Times New Roman" w:hAnsi="Times New Roman" w:cs="Times New Roman"/>
          <w:sz w:val="20"/>
          <w:szCs w:val="20"/>
        </w:rPr>
      </w:pPr>
    </w:p>
    <w:p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rsidTr="008E7E45">
        <w:tc>
          <w:tcPr>
            <w:tcW w:w="311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r>
      <w:tr w:rsidR="00BE345A" w:rsidRPr="00325DE3" w:rsidTr="008E7E45">
        <w:tc>
          <w:tcPr>
            <w:tcW w:w="311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13</w:t>
      </w:r>
    </w:p>
    <w:p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51925" w:rsidRPr="00325DE3" w:rsidRDefault="00451925" w:rsidP="00451925">
      <w:pPr>
        <w:pStyle w:val="a5"/>
        <w:ind w:left="5670"/>
        <w:jc w:val="center"/>
        <w:rPr>
          <w:rFonts w:ascii="Times New Roman" w:hAnsi="Times New Roman"/>
          <w:sz w:val="28"/>
          <w:szCs w:val="28"/>
        </w:rPr>
      </w:pPr>
    </w:p>
    <w:p w:rsidR="00451925" w:rsidRDefault="00451925" w:rsidP="00451925">
      <w:pPr>
        <w:pStyle w:val="a5"/>
        <w:ind w:left="5387"/>
        <w:jc w:val="center"/>
        <w:rPr>
          <w:rFonts w:ascii="Times New Roman" w:hAnsi="Times New Roman"/>
          <w:sz w:val="28"/>
          <w:szCs w:val="28"/>
        </w:rPr>
      </w:pPr>
    </w:p>
    <w:p w:rsidR="00876B9D" w:rsidRPr="00325DE3" w:rsidRDefault="00876B9D" w:rsidP="00451925">
      <w:pPr>
        <w:pStyle w:val="a5"/>
        <w:ind w:left="5387"/>
        <w:jc w:val="center"/>
        <w:rPr>
          <w:rFonts w:ascii="Times New Roman" w:hAnsi="Times New Roman"/>
          <w:sz w:val="28"/>
          <w:szCs w:val="28"/>
        </w:rPr>
      </w:pPr>
    </w:p>
    <w:p w:rsidR="00451925" w:rsidRPr="00325DE3" w:rsidRDefault="00451925" w:rsidP="00451925">
      <w:pPr>
        <w:pStyle w:val="a5"/>
        <w:ind w:left="5387"/>
        <w:jc w:val="center"/>
        <w:rPr>
          <w:rFonts w:ascii="Times New Roman" w:hAnsi="Times New Roman"/>
          <w:sz w:val="28"/>
          <w:szCs w:val="28"/>
        </w:rPr>
      </w:pPr>
    </w:p>
    <w:p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rsidTr="00C0035A">
        <w:trPr>
          <w:trHeight w:val="871"/>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rsidTr="00C0035A">
        <w:trPr>
          <w:trHeight w:val="24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2.19.2</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3"/>
        </w:trPr>
        <w:tc>
          <w:tcPr>
            <w:tcW w:w="1276" w:type="dxa"/>
          </w:tcPr>
          <w:p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"в"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894"/>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2.19.4</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910"/>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97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19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612"/>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355"/>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766"/>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3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51925" w:rsidRPr="00325DE3" w:rsidRDefault="00451925" w:rsidP="00451925">
      <w:pPr>
        <w:pStyle w:val="ConsPlusNonformat"/>
        <w:ind w:firstLine="708"/>
        <w:jc w:val="center"/>
        <w:rPr>
          <w:rFonts w:ascii="Times New Roman" w:hAnsi="Times New Roman" w:cs="Times New Roman"/>
          <w:sz w:val="20"/>
          <w:szCs w:val="20"/>
        </w:rPr>
      </w:pPr>
    </w:p>
    <w:p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rsidTr="00C0035A">
        <w:tc>
          <w:tcPr>
            <w:tcW w:w="311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r>
      <w:tr w:rsidR="00325DE3" w:rsidRPr="00325DE3" w:rsidTr="00C0035A">
        <w:tc>
          <w:tcPr>
            <w:tcW w:w="311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ПРИЛОЖЕНИЕ № 14</w:t>
      </w:r>
    </w:p>
    <w:p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pStyle w:val="a5"/>
        <w:ind w:left="5670"/>
        <w:jc w:val="center"/>
        <w:rPr>
          <w:rFonts w:ascii="Times New Roman" w:hAnsi="Times New Roman"/>
          <w:sz w:val="28"/>
          <w:szCs w:val="28"/>
        </w:rPr>
      </w:pPr>
    </w:p>
    <w:p w:rsidR="006D3F0B" w:rsidRDefault="006D3F0B" w:rsidP="006D3F0B">
      <w:pPr>
        <w:pStyle w:val="a5"/>
        <w:ind w:left="5670"/>
        <w:jc w:val="center"/>
        <w:rPr>
          <w:rFonts w:ascii="Times New Roman" w:hAnsi="Times New Roman"/>
          <w:sz w:val="28"/>
          <w:szCs w:val="28"/>
        </w:rPr>
      </w:pPr>
    </w:p>
    <w:p w:rsidR="00876B9D" w:rsidRPr="00325DE3" w:rsidRDefault="00876B9D" w:rsidP="006D3F0B">
      <w:pPr>
        <w:pStyle w:val="a5"/>
        <w:ind w:left="5670"/>
        <w:jc w:val="center"/>
        <w:rPr>
          <w:rFonts w:ascii="Times New Roman" w:hAnsi="Times New Roman"/>
          <w:sz w:val="28"/>
          <w:szCs w:val="28"/>
        </w:rPr>
      </w:pPr>
    </w:p>
    <w:p w:rsidR="006D3F0B" w:rsidRPr="00325DE3" w:rsidRDefault="006D3F0B" w:rsidP="006D3F0B">
      <w:pPr>
        <w:pStyle w:val="a5"/>
        <w:jc w:val="center"/>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rsidR="006D3F0B" w:rsidRPr="00325DE3" w:rsidRDefault="006D3F0B" w:rsidP="006D3F0B">
      <w:pPr>
        <w:spacing w:after="0" w:line="240" w:lineRule="auto"/>
        <w:jc w:val="both"/>
        <w:rPr>
          <w:rFonts w:ascii="Times New Roman" w:hAnsi="Times New Roman"/>
          <w:sz w:val="24"/>
        </w:rPr>
      </w:pP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rsidTr="00C0035A">
        <w:trPr>
          <w:trHeight w:val="626"/>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пункта Админи</w:t>
            </w:r>
            <w:r w:rsidRPr="00325DE3">
              <w:rPr>
                <w:rFonts w:ascii="Times New Roman" w:hAnsi="Times New Roman"/>
                <w:sz w:val="24"/>
              </w:rPr>
              <w:softHyphen/>
              <w:t>стратив-ного регламен</w:t>
            </w:r>
            <w:r w:rsidRPr="00325DE3">
              <w:rPr>
                <w:rFonts w:ascii="Times New Roman" w:hAnsi="Times New Roman"/>
                <w:sz w:val="24"/>
              </w:rPr>
              <w:softHyphen/>
              <w:t>та</w:t>
            </w:r>
          </w:p>
        </w:tc>
        <w:tc>
          <w:tcPr>
            <w:tcW w:w="4678"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rsidTr="00C0035A">
        <w:trPr>
          <w:trHeight w:val="1051"/>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rsidTr="00C0035A">
        <w:trPr>
          <w:trHeight w:val="13"/>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D3F0B" w:rsidRPr="00325DE3" w:rsidRDefault="006D3F0B" w:rsidP="006D3F0B">
      <w:pPr>
        <w:pStyle w:val="ConsPlusNonformat"/>
        <w:ind w:firstLine="708"/>
        <w:jc w:val="center"/>
        <w:rPr>
          <w:rFonts w:ascii="Times New Roman" w:hAnsi="Times New Roman" w:cs="Times New Roman"/>
          <w:sz w:val="20"/>
          <w:szCs w:val="20"/>
        </w:rPr>
      </w:pPr>
    </w:p>
    <w:p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rsidTr="00C0035A">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6D3F0B" w:rsidRPr="00325DE3" w:rsidTr="00C0035A">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3C68B0">
      <w:headerReference w:type="default" r:id="rId10"/>
      <w:footerReference w:type="default" r:id="rId11"/>
      <w:headerReference w:type="first" r:id="rId12"/>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E0" w:rsidRDefault="003075E0">
      <w:pPr>
        <w:spacing w:after="0" w:line="240" w:lineRule="auto"/>
      </w:pPr>
      <w:r>
        <w:separator/>
      </w:r>
    </w:p>
  </w:endnote>
  <w:endnote w:type="continuationSeparator" w:id="0">
    <w:p w:rsidR="003075E0" w:rsidRDefault="003075E0">
      <w:pPr>
        <w:spacing w:after="0" w:line="240" w:lineRule="auto"/>
      </w:pPr>
      <w:r>
        <w:continuationSeparator/>
      </w:r>
    </w:p>
  </w:endnote>
  <w:endnote w:type="continuationNotice" w:id="1">
    <w:p w:rsidR="003075E0" w:rsidRDefault="00307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rsidR="00CA54C6" w:rsidRDefault="00CA54C6">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A938EA">
          <w:rPr>
            <w:rFonts w:ascii="Times New Roman" w:hAnsi="Times New Roman"/>
            <w:noProof/>
            <w:sz w:val="24"/>
          </w:rPr>
          <w:t>3</w:t>
        </w:r>
        <w:r w:rsidRPr="00B67DC1">
          <w:rPr>
            <w:rFonts w:ascii="Times New Roman" w:hAnsi="Times New Roman"/>
            <w:sz w:val="24"/>
          </w:rPr>
          <w:fldChar w:fldCharType="end"/>
        </w:r>
      </w:p>
    </w:sdtContent>
  </w:sdt>
  <w:p w:rsidR="00CA54C6" w:rsidRDefault="00CA54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E0" w:rsidRDefault="003075E0">
      <w:pPr>
        <w:spacing w:after="0" w:line="240" w:lineRule="auto"/>
      </w:pPr>
      <w:r>
        <w:separator/>
      </w:r>
    </w:p>
  </w:footnote>
  <w:footnote w:type="continuationSeparator" w:id="0">
    <w:p w:rsidR="003075E0" w:rsidRDefault="003075E0">
      <w:pPr>
        <w:spacing w:after="0" w:line="240" w:lineRule="auto"/>
      </w:pPr>
      <w:r>
        <w:continuationSeparator/>
      </w:r>
    </w:p>
  </w:footnote>
  <w:footnote w:type="continuationNotice" w:id="1">
    <w:p w:rsidR="003075E0" w:rsidRDefault="003075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6" w:rsidRDefault="00CA54C6">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6" w:rsidRPr="000A5177" w:rsidRDefault="00CA54C6">
    <w:pPr>
      <w:pStyle w:val="a6"/>
      <w:jc w:val="center"/>
      <w:rPr>
        <w:color w:val="FFFFFF" w:themeColor="background1"/>
      </w:rPr>
    </w:pPr>
  </w:p>
  <w:p w:rsidR="00CA54C6" w:rsidRDefault="00CA54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2BEC"/>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4D66"/>
    <w:rsid w:val="000B6027"/>
    <w:rsid w:val="000B6F25"/>
    <w:rsid w:val="000B7BDD"/>
    <w:rsid w:val="000C01EE"/>
    <w:rsid w:val="000C3D42"/>
    <w:rsid w:val="000C4175"/>
    <w:rsid w:val="000C4EFE"/>
    <w:rsid w:val="000C6319"/>
    <w:rsid w:val="000C63F2"/>
    <w:rsid w:val="000C64CA"/>
    <w:rsid w:val="000C7A48"/>
    <w:rsid w:val="000D00FF"/>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0F7FD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27DA"/>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04"/>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5E0"/>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4E5B"/>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594"/>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0770"/>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53"/>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38A9"/>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B9D"/>
    <w:rsid w:val="00876CDD"/>
    <w:rsid w:val="008773F1"/>
    <w:rsid w:val="00877B25"/>
    <w:rsid w:val="00880F49"/>
    <w:rsid w:val="00881E41"/>
    <w:rsid w:val="00881F0E"/>
    <w:rsid w:val="008822CE"/>
    <w:rsid w:val="008830C0"/>
    <w:rsid w:val="00883243"/>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7E8"/>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E7AB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8EA"/>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028A"/>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4C6"/>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39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5925"/>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0EDB"/>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5DDA"/>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063"/>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37B4A-D32F-4C5E-8EE2-31731A1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9DCF-6452-4219-984B-4D01994F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35208</Words>
  <Characters>200686</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Мария</cp:lastModifiedBy>
  <cp:revision>2</cp:revision>
  <cp:lastPrinted>2022-12-23T10:22:00Z</cp:lastPrinted>
  <dcterms:created xsi:type="dcterms:W3CDTF">2023-02-16T14:44:00Z</dcterms:created>
  <dcterms:modified xsi:type="dcterms:W3CDTF">2023-02-16T14:44:00Z</dcterms:modified>
</cp:coreProperties>
</file>