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E85" w:rsidRPr="002A3E85" w:rsidRDefault="002A3E85" w:rsidP="002A3E85">
      <w:pPr>
        <w:shd w:val="clear" w:color="auto" w:fill="FFFFFF"/>
        <w:spacing w:before="105" w:after="135" w:line="450" w:lineRule="atLeast"/>
        <w:outlineLvl w:val="1"/>
        <w:rPr>
          <w:rFonts w:ascii="Helvetica" w:eastAsia="Times New Roman" w:hAnsi="Helvetica" w:cs="Helvetica"/>
          <w:color w:val="053675"/>
          <w:sz w:val="39"/>
          <w:szCs w:val="39"/>
          <w:lang w:eastAsia="ru-RU"/>
        </w:rPr>
      </w:pPr>
      <w:bookmarkStart w:id="0" w:name="_GoBack"/>
      <w:r w:rsidRPr="002A3E85">
        <w:rPr>
          <w:rFonts w:ascii="Helvetica" w:eastAsia="Times New Roman" w:hAnsi="Helvetica" w:cs="Helvetica"/>
          <w:color w:val="053675"/>
          <w:sz w:val="39"/>
          <w:szCs w:val="39"/>
          <w:lang w:eastAsia="ru-RU"/>
        </w:rPr>
        <w:t>Плановые проверки в отношении субъектов малого предпринимательства в 2021 году проводиться не будут</w:t>
      </w:r>
    </w:p>
    <w:bookmarkEnd w:id="0"/>
    <w:p w:rsidR="002A3E85" w:rsidRPr="002A3E85" w:rsidRDefault="002A3E85" w:rsidP="002A3E85">
      <w:pPr>
        <w:shd w:val="clear" w:color="auto" w:fill="FFFFFF"/>
        <w:spacing w:before="300" w:after="300" w:line="390" w:lineRule="atLeast"/>
        <w:ind w:firstLine="426"/>
        <w:rPr>
          <w:rFonts w:ascii="Helvetica" w:eastAsia="Times New Roman" w:hAnsi="Helvetica" w:cs="Helvetica"/>
          <w:color w:val="344D6A"/>
          <w:sz w:val="27"/>
          <w:szCs w:val="27"/>
          <w:lang w:eastAsia="ru-RU"/>
        </w:rPr>
      </w:pPr>
      <w:r w:rsidRPr="002A3E85">
        <w:rPr>
          <w:rFonts w:ascii="Helvetica" w:eastAsia="Times New Roman" w:hAnsi="Helvetica" w:cs="Helvetica"/>
          <w:color w:val="344D6A"/>
          <w:sz w:val="27"/>
          <w:szCs w:val="27"/>
          <w:lang w:eastAsia="ru-RU"/>
        </w:rPr>
        <w:t>Правительством Российской Федерации определены особенности проведения проверок и продлен запрет на проведение плановых проверок в отношении субъектов малого предпринимательства до конца 2021 года.</w:t>
      </w:r>
    </w:p>
    <w:p w:rsidR="002A3E85" w:rsidRPr="002A3E85" w:rsidRDefault="002C0336" w:rsidP="002A3E85">
      <w:pPr>
        <w:shd w:val="clear" w:color="auto" w:fill="FFFFFF"/>
        <w:spacing w:after="0" w:line="360" w:lineRule="atLeast"/>
        <w:ind w:firstLine="426"/>
        <w:jc w:val="both"/>
        <w:rPr>
          <w:rFonts w:ascii="Segoe UI" w:eastAsia="Times New Roman" w:hAnsi="Segoe UI" w:cs="Segoe UI"/>
          <w:color w:val="333333"/>
          <w:sz w:val="24"/>
          <w:szCs w:val="24"/>
          <w:lang w:eastAsia="ru-RU"/>
        </w:rPr>
      </w:pPr>
      <w:hyperlink r:id="rId5" w:history="1">
        <w:r w:rsidR="002A3E85" w:rsidRPr="002A3E85">
          <w:rPr>
            <w:rFonts w:ascii="Segoe UI" w:eastAsia="Times New Roman" w:hAnsi="Segoe UI" w:cs="Segoe UI"/>
            <w:color w:val="3866A0"/>
            <w:sz w:val="24"/>
            <w:szCs w:val="24"/>
            <w:u w:val="single"/>
            <w:lang w:eastAsia="ru-RU"/>
          </w:rPr>
          <w:t>Постановлением от 30 ноября 2020 года № 1969</w:t>
        </w:r>
      </w:hyperlink>
      <w:r w:rsidR="002A3E85" w:rsidRPr="002A3E85">
        <w:rPr>
          <w:rFonts w:ascii="Segoe UI" w:eastAsia="Times New Roman" w:hAnsi="Segoe UI" w:cs="Segoe UI"/>
          <w:color w:val="333333"/>
          <w:sz w:val="24"/>
          <w:szCs w:val="24"/>
          <w:lang w:eastAsia="ru-RU"/>
        </w:rPr>
        <w:t> определено, что в 2021 году не должны проводиться плановые проверки в отношении юридических лиц и индивидуальных предпринимателей, отнесенных законодательством к субъектам малого предпринимательства, сведения о которых включены в </w:t>
      </w:r>
      <w:hyperlink r:id="rId6" w:history="1">
        <w:r w:rsidR="002A3E85" w:rsidRPr="002A3E85">
          <w:rPr>
            <w:rFonts w:ascii="Segoe UI" w:eastAsia="Times New Roman" w:hAnsi="Segoe UI" w:cs="Segoe UI"/>
            <w:color w:val="3866A0"/>
            <w:sz w:val="24"/>
            <w:szCs w:val="24"/>
            <w:u w:val="single"/>
            <w:lang w:eastAsia="ru-RU"/>
          </w:rPr>
          <w:t>Единый реестр субъектов МСП</w:t>
        </w:r>
      </w:hyperlink>
      <w:r w:rsidR="002A3E85" w:rsidRPr="002A3E85">
        <w:rPr>
          <w:rFonts w:ascii="Segoe UI" w:eastAsia="Times New Roman" w:hAnsi="Segoe UI" w:cs="Segoe UI"/>
          <w:color w:val="333333"/>
          <w:sz w:val="24"/>
          <w:szCs w:val="24"/>
          <w:lang w:eastAsia="ru-RU"/>
        </w:rPr>
        <w:t>.</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Указанный запрет не распространяется на:</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1) Плановые проверки лиц, деятельность и (или) используемые производственные объекты которых отнесены к категориям чрезвычайно высокого и высокого рисков, а также к 1-му, 2-му классам (</w:t>
      </w:r>
      <w:proofErr w:type="gramStart"/>
      <w:r w:rsidRPr="002A3E85">
        <w:rPr>
          <w:rFonts w:ascii="Segoe UI" w:eastAsia="Times New Roman" w:hAnsi="Segoe UI" w:cs="Segoe UI"/>
          <w:color w:val="333333"/>
          <w:sz w:val="24"/>
          <w:szCs w:val="24"/>
          <w:lang w:eastAsia="ru-RU"/>
        </w:rPr>
        <w:t>категориям)  опасности</w:t>
      </w:r>
      <w:proofErr w:type="gramEnd"/>
      <w:r w:rsidRPr="002A3E85">
        <w:rPr>
          <w:rFonts w:ascii="Segoe UI" w:eastAsia="Times New Roman" w:hAnsi="Segoe UI" w:cs="Segoe UI"/>
          <w:color w:val="333333"/>
          <w:sz w:val="24"/>
          <w:szCs w:val="24"/>
          <w:lang w:eastAsia="ru-RU"/>
        </w:rPr>
        <w:t>, I, II и III классам опасности опасных производственных объектов, I, II и III классам гидротехнических сооружений, а также в отношении которых установлен режим постоянного государственного контроля (надзора);</w:t>
      </w:r>
    </w:p>
    <w:p w:rsidR="002A3E85" w:rsidRPr="002A3E85" w:rsidRDefault="002A3E85" w:rsidP="002A3E85">
      <w:pPr>
        <w:shd w:val="clear" w:color="auto" w:fill="FFFFFF"/>
        <w:spacing w:after="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2) Плановые проверки лиц, осуществляющих виды деятельности, перечень которых утвержден </w:t>
      </w:r>
      <w:hyperlink r:id="rId7" w:history="1">
        <w:r w:rsidRPr="002A3E85">
          <w:rPr>
            <w:rFonts w:ascii="Segoe UI" w:eastAsia="Times New Roman" w:hAnsi="Segoe UI" w:cs="Segoe UI"/>
            <w:color w:val="3866A0"/>
            <w:sz w:val="24"/>
            <w:szCs w:val="24"/>
            <w:u w:val="single"/>
            <w:lang w:eastAsia="ru-RU"/>
          </w:rPr>
          <w:t>постановлением Правительства Российской Федерации №944</w:t>
        </w:r>
      </w:hyperlink>
      <w:r w:rsidRPr="002A3E85">
        <w:rPr>
          <w:rFonts w:ascii="Segoe UI" w:eastAsia="Times New Roman" w:hAnsi="Segoe UI" w:cs="Segoe UI"/>
          <w:color w:val="333333"/>
          <w:sz w:val="24"/>
          <w:szCs w:val="24"/>
          <w:lang w:eastAsia="ru-RU"/>
        </w:rPr>
        <w:t>;</w:t>
      </w:r>
    </w:p>
    <w:p w:rsidR="002A3E85" w:rsidRPr="002A3E85" w:rsidRDefault="002A3E85" w:rsidP="002A3E85">
      <w:pPr>
        <w:shd w:val="clear" w:color="auto" w:fill="FFFFFF"/>
        <w:spacing w:after="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3) Плановые проверки субъектов малого предпринимательства, которые в течение последних трех лет были привлечены к административной ответственности за совершение грубого нарушения, дисквалифицированы, деятельность которых была приостановлена или было принято решение о приостановлении действия и (или) аннулировании лицензии, выданной им в соответствии с </w:t>
      </w:r>
      <w:hyperlink r:id="rId8" w:history="1">
        <w:r w:rsidRPr="002A3E85">
          <w:rPr>
            <w:rFonts w:ascii="Segoe UI" w:eastAsia="Times New Roman" w:hAnsi="Segoe UI" w:cs="Segoe UI"/>
            <w:color w:val="3866A0"/>
            <w:sz w:val="24"/>
            <w:szCs w:val="24"/>
            <w:u w:val="single"/>
            <w:lang w:eastAsia="ru-RU"/>
          </w:rPr>
          <w:t>Федеральным законом № 99-ФЗ</w:t>
        </w:r>
      </w:hyperlink>
      <w:r w:rsidRPr="002A3E85">
        <w:rPr>
          <w:rFonts w:ascii="Segoe UI" w:eastAsia="Times New Roman" w:hAnsi="Segoe UI" w:cs="Segoe UI"/>
          <w:color w:val="333333"/>
          <w:sz w:val="24"/>
          <w:szCs w:val="24"/>
          <w:lang w:eastAsia="ru-RU"/>
        </w:rPr>
        <w:t>;</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4) Плановые проверки, проводимые при осуществлении лицензионного контроля;</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5) Плановые проверки, проводимые в рамках четырех видов федерального государственного контроля (надзора).</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lastRenderedPageBreak/>
        <w:t>Установлено, что в 2021 году любые проверки юридических лиц и индивидуальных предпринимателей могут проводиться с использованием средств дистанционного взаимодействия, в том числе аудио- или видеосвязи.</w:t>
      </w:r>
    </w:p>
    <w:p w:rsidR="002A3E85" w:rsidRPr="002A3E85" w:rsidRDefault="002A3E85" w:rsidP="002A3E85">
      <w:pPr>
        <w:shd w:val="clear" w:color="auto" w:fill="FFFFFF"/>
        <w:spacing w:after="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С 1 июля 2021 года вступает в силу </w:t>
      </w:r>
      <w:hyperlink r:id="rId9" w:history="1">
        <w:r w:rsidRPr="002A3E85">
          <w:rPr>
            <w:rFonts w:ascii="Segoe UI" w:eastAsia="Times New Roman" w:hAnsi="Segoe UI" w:cs="Segoe UI"/>
            <w:color w:val="3866A0"/>
            <w:sz w:val="24"/>
            <w:szCs w:val="24"/>
            <w:u w:val="single"/>
            <w:lang w:eastAsia="ru-RU"/>
          </w:rPr>
          <w:t>Федеральный закон</w:t>
        </w:r>
      </w:hyperlink>
      <w:r w:rsidRPr="002A3E85">
        <w:rPr>
          <w:rFonts w:ascii="Segoe UI" w:eastAsia="Times New Roman" w:hAnsi="Segoe UI" w:cs="Segoe UI"/>
          <w:color w:val="333333"/>
          <w:sz w:val="24"/>
          <w:szCs w:val="24"/>
          <w:lang w:eastAsia="ru-RU"/>
        </w:rPr>
        <w:t> о государственном контроле (надзоре) и муниципальном контроле, поэтому постановлением 1969 определены следующие особенности проведения ранее запланированных проверок во второй половине 2021 года:</w:t>
      </w:r>
    </w:p>
    <w:p w:rsidR="002A3E85" w:rsidRPr="002A3E85" w:rsidRDefault="002A3E85" w:rsidP="002A3E85">
      <w:pPr>
        <w:numPr>
          <w:ilvl w:val="0"/>
          <w:numId w:val="1"/>
        </w:numPr>
        <w:shd w:val="clear" w:color="auto" w:fill="FFFFFF"/>
        <w:spacing w:after="0" w:line="345" w:lineRule="atLeast"/>
        <w:ind w:left="0" w:firstLine="426"/>
        <w:jc w:val="both"/>
        <w:rPr>
          <w:rFonts w:ascii="Segoe UI" w:eastAsia="Times New Roman" w:hAnsi="Segoe UI" w:cs="Segoe UI"/>
          <w:color w:val="333333"/>
          <w:sz w:val="24"/>
          <w:szCs w:val="24"/>
          <w:lang w:eastAsia="ru-RU"/>
        </w:rPr>
      </w:pPr>
      <w:r w:rsidRPr="002A3E85">
        <w:rPr>
          <w:rFonts w:ascii="Times New Roman" w:eastAsia="Times New Roman" w:hAnsi="Times New Roman" w:cs="Times New Roman"/>
          <w:b/>
          <w:color w:val="333333"/>
          <w:sz w:val="24"/>
          <w:szCs w:val="24"/>
          <w:lang w:eastAsia="ru-RU"/>
        </w:rPr>
        <w:t>вместо выездных проверок могут быть проведены инспекционные визиты</w:t>
      </w:r>
      <w:r w:rsidRPr="002A3E85">
        <w:rPr>
          <w:rFonts w:ascii="Segoe UI" w:eastAsia="Times New Roman" w:hAnsi="Segoe UI" w:cs="Segoe UI"/>
          <w:color w:val="333333"/>
          <w:sz w:val="24"/>
          <w:szCs w:val="24"/>
          <w:lang w:eastAsia="ru-RU"/>
        </w:rPr>
        <w:t>. Решение о замене должно быть принято не позднее чем за 20 рабочих дней до даты начала проведения такой проверки. О проведении инспекционного визита юридическое лицо, индивидуальный предприниматель должны быть уведомлены в течение 10 рабочих дней после принятия решения о замене;</w:t>
      </w:r>
    </w:p>
    <w:p w:rsidR="002A3E85" w:rsidRPr="002A3E85" w:rsidRDefault="002A3E85" w:rsidP="002A3E85">
      <w:pPr>
        <w:numPr>
          <w:ilvl w:val="0"/>
          <w:numId w:val="1"/>
        </w:numPr>
        <w:shd w:val="clear" w:color="auto" w:fill="FFFFFF"/>
        <w:spacing w:after="0" w:line="345" w:lineRule="atLeast"/>
        <w:ind w:left="0"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срок плановых проверок, дата начала которых наступает позже 30 июня 2021 года, не может превышать 10 рабочих дней с учетом особенностей, установленных новым федеральным законом;</w:t>
      </w:r>
    </w:p>
    <w:p w:rsidR="002A3E85" w:rsidRPr="002A3E85" w:rsidRDefault="002A3E85" w:rsidP="002A3E85">
      <w:pPr>
        <w:numPr>
          <w:ilvl w:val="0"/>
          <w:numId w:val="1"/>
        </w:numPr>
        <w:shd w:val="clear" w:color="auto" w:fill="FFFFFF"/>
        <w:spacing w:after="0" w:line="345" w:lineRule="atLeast"/>
        <w:ind w:left="0"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подлежат исключению из ежегодного плана плановые проверки, если на дату их начала будут признаны утратившими силу положения федерального закона, устанавливающие соответствующий вид государственного контроля (надзора), муниципального контроля, кроме случаев, когда такие проверки могут быть проведены в рамках иного вида контроля (надзора) и это будет указано в положении о таком виде контроля (надзора).</w:t>
      </w:r>
    </w:p>
    <w:p w:rsidR="002A3E85" w:rsidRPr="002A3E85" w:rsidRDefault="002A3E85" w:rsidP="002A3E85">
      <w:pPr>
        <w:shd w:val="clear" w:color="auto" w:fill="FFFFFF"/>
        <w:spacing w:before="180" w:after="300" w:line="360" w:lineRule="atLeast"/>
        <w:ind w:firstLine="426"/>
        <w:jc w:val="both"/>
        <w:rPr>
          <w:rFonts w:ascii="Segoe UI" w:eastAsia="Times New Roman" w:hAnsi="Segoe UI" w:cs="Segoe UI"/>
          <w:color w:val="333333"/>
          <w:sz w:val="24"/>
          <w:szCs w:val="24"/>
          <w:lang w:eastAsia="ru-RU"/>
        </w:rPr>
      </w:pPr>
      <w:r w:rsidRPr="002A3E85">
        <w:rPr>
          <w:rFonts w:ascii="Segoe UI" w:eastAsia="Times New Roman" w:hAnsi="Segoe UI" w:cs="Segoe UI"/>
          <w:color w:val="333333"/>
          <w:sz w:val="24"/>
          <w:szCs w:val="24"/>
          <w:lang w:eastAsia="ru-RU"/>
        </w:rPr>
        <w:t>Правительством Российской Федерации также предписывается всем контрольным (надзорным) органам привести свои планы проверок на 2021 год в соответствие с указанными особенностями.</w:t>
      </w:r>
    </w:p>
    <w:p w:rsidR="002A3E85" w:rsidRPr="002A3E85" w:rsidRDefault="002A3E85" w:rsidP="002A3E85">
      <w:pPr>
        <w:shd w:val="clear" w:color="auto" w:fill="FFFFFF"/>
        <w:spacing w:before="180" w:after="300" w:line="312" w:lineRule="atLeast"/>
        <w:ind w:firstLine="426"/>
        <w:jc w:val="both"/>
        <w:rPr>
          <w:rFonts w:ascii="Segoe UI" w:eastAsia="Times New Roman" w:hAnsi="Segoe UI" w:cs="Segoe UI"/>
          <w:i/>
          <w:iCs/>
          <w:color w:val="777777"/>
          <w:sz w:val="23"/>
          <w:szCs w:val="23"/>
          <w:lang w:eastAsia="ru-RU"/>
        </w:rPr>
      </w:pPr>
      <w:r w:rsidRPr="002A3E85">
        <w:rPr>
          <w:rFonts w:ascii="Segoe UI" w:eastAsia="Times New Roman" w:hAnsi="Segoe UI" w:cs="Segoe UI"/>
          <w:i/>
          <w:iCs/>
          <w:color w:val="777777"/>
          <w:sz w:val="23"/>
          <w:szCs w:val="23"/>
          <w:lang w:eastAsia="ru-RU"/>
        </w:rPr>
        <w:t>Департамент контроля и совершенствования государственного управления администрации Губернатора и Правительства Архангельской области</w:t>
      </w:r>
    </w:p>
    <w:p w:rsidR="002A3E85" w:rsidRPr="002A3E85" w:rsidRDefault="002A3E85" w:rsidP="002A3E85">
      <w:pPr>
        <w:shd w:val="clear" w:color="auto" w:fill="00ABF0"/>
        <w:spacing w:after="0" w:line="0" w:lineRule="auto"/>
        <w:ind w:firstLine="426"/>
        <w:jc w:val="both"/>
        <w:rPr>
          <w:rFonts w:ascii="Segoe UI" w:eastAsia="Times New Roman" w:hAnsi="Segoe UI" w:cs="Segoe UI"/>
          <w:color w:val="FFFFFF"/>
          <w:sz w:val="2"/>
          <w:szCs w:val="2"/>
          <w:lang w:eastAsia="ru-RU"/>
        </w:rPr>
      </w:pPr>
      <w:r w:rsidRPr="002A3E85">
        <w:rPr>
          <w:rFonts w:ascii="Segoe UI" w:eastAsia="Times New Roman" w:hAnsi="Segoe UI" w:cs="Segoe UI"/>
          <w:color w:val="FFFFFF"/>
          <w:sz w:val="18"/>
          <w:szCs w:val="18"/>
          <w:lang w:eastAsia="ru-RU"/>
        </w:rPr>
        <w:t>0</w:t>
      </w:r>
    </w:p>
    <w:p w:rsidR="002A3E85" w:rsidRPr="002A3E85" w:rsidRDefault="002A3E85" w:rsidP="002A3E85">
      <w:pPr>
        <w:shd w:val="clear" w:color="auto" w:fill="41658B"/>
        <w:spacing w:after="0" w:line="0" w:lineRule="auto"/>
        <w:ind w:firstLine="426"/>
        <w:jc w:val="both"/>
        <w:rPr>
          <w:rFonts w:ascii="Segoe UI" w:eastAsia="Times New Roman" w:hAnsi="Segoe UI" w:cs="Segoe UI"/>
          <w:color w:val="FFFFFF"/>
          <w:sz w:val="2"/>
          <w:szCs w:val="2"/>
          <w:lang w:eastAsia="ru-RU"/>
        </w:rPr>
      </w:pPr>
      <w:r w:rsidRPr="002A3E85">
        <w:rPr>
          <w:rFonts w:ascii="Segoe UI" w:eastAsia="Times New Roman" w:hAnsi="Segoe UI" w:cs="Segoe UI"/>
          <w:color w:val="FFFFFF"/>
          <w:sz w:val="18"/>
          <w:szCs w:val="18"/>
          <w:lang w:eastAsia="ru-RU"/>
        </w:rPr>
        <w:t>0</w:t>
      </w:r>
    </w:p>
    <w:p w:rsidR="002A3E85" w:rsidRPr="002A3E85" w:rsidRDefault="002A3E85" w:rsidP="002A3E85">
      <w:pPr>
        <w:shd w:val="clear" w:color="auto" w:fill="39579A"/>
        <w:spacing w:after="0" w:line="0" w:lineRule="auto"/>
        <w:ind w:firstLine="426"/>
        <w:jc w:val="both"/>
        <w:rPr>
          <w:rFonts w:ascii="Segoe UI" w:eastAsia="Times New Roman" w:hAnsi="Segoe UI" w:cs="Segoe UI"/>
          <w:color w:val="FFFFFF"/>
          <w:sz w:val="2"/>
          <w:szCs w:val="2"/>
          <w:lang w:eastAsia="ru-RU"/>
        </w:rPr>
      </w:pPr>
      <w:r w:rsidRPr="002A3E85">
        <w:rPr>
          <w:rFonts w:ascii="Segoe UI" w:eastAsia="Times New Roman" w:hAnsi="Segoe UI" w:cs="Segoe UI"/>
          <w:color w:val="FFFFFF"/>
          <w:sz w:val="18"/>
          <w:szCs w:val="18"/>
          <w:lang w:eastAsia="ru-RU"/>
        </w:rPr>
        <w:t>0</w:t>
      </w:r>
    </w:p>
    <w:p w:rsidR="002A3E85" w:rsidRPr="002A3E85" w:rsidRDefault="002A3E85" w:rsidP="002A3E85">
      <w:pPr>
        <w:shd w:val="clear" w:color="auto" w:fill="BE3308"/>
        <w:spacing w:after="0" w:line="0" w:lineRule="auto"/>
        <w:ind w:firstLine="426"/>
        <w:jc w:val="both"/>
        <w:rPr>
          <w:rFonts w:ascii="Segoe UI" w:eastAsia="Times New Roman" w:hAnsi="Segoe UI" w:cs="Segoe UI"/>
          <w:color w:val="FFFFFF"/>
          <w:sz w:val="2"/>
          <w:szCs w:val="2"/>
          <w:lang w:eastAsia="ru-RU"/>
        </w:rPr>
      </w:pPr>
      <w:r w:rsidRPr="002A3E85">
        <w:rPr>
          <w:rFonts w:ascii="Segoe UI" w:eastAsia="Times New Roman" w:hAnsi="Segoe UI" w:cs="Segoe UI"/>
          <w:color w:val="FFFFFF"/>
          <w:sz w:val="18"/>
          <w:szCs w:val="18"/>
          <w:lang w:eastAsia="ru-RU"/>
        </w:rPr>
        <w:t>0</w:t>
      </w:r>
    </w:p>
    <w:p w:rsidR="00500BA6" w:rsidRDefault="00500BA6" w:rsidP="002A3E85">
      <w:pPr>
        <w:ind w:firstLine="426"/>
        <w:jc w:val="both"/>
      </w:pPr>
    </w:p>
    <w:sectPr w:rsidR="00500BA6" w:rsidSect="00B637E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C63E51"/>
    <w:multiLevelType w:val="multilevel"/>
    <w:tmpl w:val="599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A3E85"/>
    <w:rsid w:val="002A3E85"/>
    <w:rsid w:val="002C0336"/>
    <w:rsid w:val="00500BA6"/>
    <w:rsid w:val="007B149B"/>
    <w:rsid w:val="00A649C9"/>
    <w:rsid w:val="00B637E5"/>
    <w:rsid w:val="00D7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DE4E3-EE45-498F-84CC-1026C0E9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BA6"/>
  </w:style>
  <w:style w:type="paragraph" w:styleId="2">
    <w:name w:val="heading 2"/>
    <w:basedOn w:val="a"/>
    <w:link w:val="20"/>
    <w:uiPriority w:val="9"/>
    <w:qFormat/>
    <w:rsid w:val="002A3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3E85"/>
    <w:rPr>
      <w:rFonts w:ascii="Times New Roman" w:eastAsia="Times New Roman" w:hAnsi="Times New Roman" w:cs="Times New Roman"/>
      <w:b/>
      <w:bCs/>
      <w:sz w:val="36"/>
      <w:szCs w:val="36"/>
      <w:lang w:eastAsia="ru-RU"/>
    </w:rPr>
  </w:style>
  <w:style w:type="character" w:customStyle="1" w:styleId="fe-published">
    <w:name w:val="fe-published"/>
    <w:basedOn w:val="a0"/>
    <w:rsid w:val="002A3E85"/>
  </w:style>
  <w:style w:type="character" w:customStyle="1" w:styleId="fe-published-day">
    <w:name w:val="fe-published-day"/>
    <w:basedOn w:val="a0"/>
    <w:rsid w:val="002A3E85"/>
  </w:style>
  <w:style w:type="character" w:styleId="a3">
    <w:name w:val="Hyperlink"/>
    <w:basedOn w:val="a0"/>
    <w:uiPriority w:val="99"/>
    <w:semiHidden/>
    <w:unhideWhenUsed/>
    <w:rsid w:val="002A3E85"/>
    <w:rPr>
      <w:color w:val="0000FF"/>
      <w:u w:val="single"/>
    </w:rPr>
  </w:style>
  <w:style w:type="character" w:customStyle="1" w:styleId="fe-published-month">
    <w:name w:val="fe-published-month"/>
    <w:basedOn w:val="a0"/>
    <w:rsid w:val="002A3E85"/>
  </w:style>
  <w:style w:type="character" w:customStyle="1" w:styleId="fe-published-year">
    <w:name w:val="fe-published-year"/>
    <w:basedOn w:val="a0"/>
    <w:rsid w:val="002A3E85"/>
  </w:style>
  <w:style w:type="character" w:customStyle="1" w:styleId="fe-published-time">
    <w:name w:val="fe-published-time"/>
    <w:basedOn w:val="a0"/>
    <w:rsid w:val="002A3E85"/>
  </w:style>
  <w:style w:type="character" w:customStyle="1" w:styleId="fe-item-tags">
    <w:name w:val="fe-item-tags"/>
    <w:basedOn w:val="a0"/>
    <w:rsid w:val="002A3E85"/>
  </w:style>
  <w:style w:type="paragraph" w:styleId="a4">
    <w:name w:val="Normal (Web)"/>
    <w:basedOn w:val="a"/>
    <w:uiPriority w:val="99"/>
    <w:semiHidden/>
    <w:unhideWhenUsed/>
    <w:rsid w:val="002A3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item-doc-author">
    <w:name w:val="fe-item-doc-author"/>
    <w:basedOn w:val="a"/>
    <w:rsid w:val="002A3E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02107">
      <w:bodyDiv w:val="1"/>
      <w:marLeft w:val="0"/>
      <w:marRight w:val="0"/>
      <w:marTop w:val="0"/>
      <w:marBottom w:val="0"/>
      <w:divBdr>
        <w:top w:val="none" w:sz="0" w:space="0" w:color="auto"/>
        <w:left w:val="none" w:sz="0" w:space="0" w:color="auto"/>
        <w:bottom w:val="none" w:sz="0" w:space="0" w:color="auto"/>
        <w:right w:val="none" w:sz="0" w:space="0" w:color="auto"/>
      </w:divBdr>
      <w:divsChild>
        <w:div w:id="2144808948">
          <w:marLeft w:val="1500"/>
          <w:marRight w:val="0"/>
          <w:marTop w:val="0"/>
          <w:marBottom w:val="0"/>
          <w:divBdr>
            <w:top w:val="none" w:sz="0" w:space="0" w:color="auto"/>
            <w:left w:val="none" w:sz="0" w:space="0" w:color="auto"/>
            <w:bottom w:val="none" w:sz="0" w:space="0" w:color="auto"/>
            <w:right w:val="none" w:sz="0" w:space="0" w:color="auto"/>
          </w:divBdr>
        </w:div>
        <w:div w:id="2008049037">
          <w:marLeft w:val="0"/>
          <w:marRight w:val="0"/>
          <w:marTop w:val="0"/>
          <w:marBottom w:val="0"/>
          <w:divBdr>
            <w:top w:val="none" w:sz="0" w:space="0" w:color="auto"/>
            <w:left w:val="none" w:sz="0" w:space="0" w:color="auto"/>
            <w:bottom w:val="none" w:sz="0" w:space="0" w:color="auto"/>
            <w:right w:val="none" w:sz="0" w:space="0" w:color="auto"/>
          </w:divBdr>
          <w:divsChild>
            <w:div w:id="446122309">
              <w:marLeft w:val="1500"/>
              <w:marRight w:val="0"/>
              <w:marTop w:val="0"/>
              <w:marBottom w:val="0"/>
              <w:divBdr>
                <w:top w:val="none" w:sz="0" w:space="0" w:color="auto"/>
                <w:left w:val="none" w:sz="0" w:space="0" w:color="auto"/>
                <w:bottom w:val="none" w:sz="0" w:space="0" w:color="auto"/>
                <w:right w:val="none" w:sz="0" w:space="0" w:color="auto"/>
              </w:divBdr>
              <w:divsChild>
                <w:div w:id="1755781723">
                  <w:marLeft w:val="0"/>
                  <w:marRight w:val="0"/>
                  <w:marTop w:val="0"/>
                  <w:marBottom w:val="0"/>
                  <w:divBdr>
                    <w:top w:val="none" w:sz="0" w:space="0" w:color="auto"/>
                    <w:left w:val="none" w:sz="0" w:space="0" w:color="auto"/>
                    <w:bottom w:val="none" w:sz="0" w:space="0" w:color="auto"/>
                    <w:right w:val="none" w:sz="0" w:space="0" w:color="auto"/>
                  </w:divBdr>
                  <w:divsChild>
                    <w:div w:id="484779211">
                      <w:marLeft w:val="0"/>
                      <w:marRight w:val="45"/>
                      <w:marTop w:val="0"/>
                      <w:marBottom w:val="0"/>
                      <w:divBdr>
                        <w:top w:val="none" w:sz="0" w:space="0" w:color="auto"/>
                        <w:left w:val="none" w:sz="0" w:space="0" w:color="auto"/>
                        <w:bottom w:val="none" w:sz="0" w:space="0" w:color="auto"/>
                        <w:right w:val="none" w:sz="0" w:space="0" w:color="auto"/>
                      </w:divBdr>
                    </w:div>
                    <w:div w:id="49161093">
                      <w:marLeft w:val="0"/>
                      <w:marRight w:val="45"/>
                      <w:marTop w:val="0"/>
                      <w:marBottom w:val="0"/>
                      <w:divBdr>
                        <w:top w:val="none" w:sz="0" w:space="0" w:color="auto"/>
                        <w:left w:val="none" w:sz="0" w:space="0" w:color="auto"/>
                        <w:bottom w:val="none" w:sz="0" w:space="0" w:color="auto"/>
                        <w:right w:val="none" w:sz="0" w:space="0" w:color="auto"/>
                      </w:divBdr>
                    </w:div>
                    <w:div w:id="966743632">
                      <w:marLeft w:val="0"/>
                      <w:marRight w:val="45"/>
                      <w:marTop w:val="0"/>
                      <w:marBottom w:val="0"/>
                      <w:divBdr>
                        <w:top w:val="none" w:sz="0" w:space="0" w:color="auto"/>
                        <w:left w:val="none" w:sz="0" w:space="0" w:color="auto"/>
                        <w:bottom w:val="none" w:sz="0" w:space="0" w:color="auto"/>
                        <w:right w:val="none" w:sz="0" w:space="0" w:color="auto"/>
                      </w:divBdr>
                    </w:div>
                    <w:div w:id="14283818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3658/" TargetMode="External"/><Relationship Id="rId3" Type="http://schemas.openxmlformats.org/officeDocument/2006/relationships/settings" Target="settings.xml"/><Relationship Id="rId7" Type="http://schemas.openxmlformats.org/officeDocument/2006/relationships/hyperlink" Target="http://base.garant.ru/1217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msp.nalog.ru/" TargetMode="External"/><Relationship Id="rId11" Type="http://schemas.openxmlformats.org/officeDocument/2006/relationships/theme" Target="theme/theme1.xml"/><Relationship Id="rId5" Type="http://schemas.openxmlformats.org/officeDocument/2006/relationships/hyperlink" Target="http://publication.pravo.gov.ru/Document/View/00012020113000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федоркова_л</dc:creator>
  <cp:lastModifiedBy>Мария Двоеглазова</cp:lastModifiedBy>
  <cp:revision>2</cp:revision>
  <dcterms:created xsi:type="dcterms:W3CDTF">2021-01-21T07:05:00Z</dcterms:created>
  <dcterms:modified xsi:type="dcterms:W3CDTF">2021-01-21T07:05:00Z</dcterms:modified>
</cp:coreProperties>
</file>