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A3" w:rsidRDefault="009911A3" w:rsidP="00246298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  <w:r w:rsidRPr="009911A3">
        <w:rPr>
          <w:rFonts w:ascii="Arial" w:hAnsi="Arial" w:cs="Arial"/>
          <w:b/>
          <w:sz w:val="30"/>
          <w:szCs w:val="30"/>
          <w:u w:val="single"/>
        </w:rPr>
        <w:t>О правилах перерасчета имущественных налогов</w:t>
      </w:r>
    </w:p>
    <w:p w:rsidR="00246298" w:rsidRPr="00246298" w:rsidRDefault="00246298" w:rsidP="00246298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CA5FB4B" wp14:editId="66A6446F">
            <wp:simplePos x="0" y="0"/>
            <wp:positionH relativeFrom="column">
              <wp:posOffset>-15875</wp:posOffset>
            </wp:positionH>
            <wp:positionV relativeFrom="paragraph">
              <wp:posOffset>332740</wp:posOffset>
            </wp:positionV>
            <wp:extent cx="2581275" cy="18078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911A3">
        <w:rPr>
          <w:rFonts w:ascii="Arial" w:hAnsi="Arial" w:cs="Arial"/>
          <w:sz w:val="26"/>
          <w:szCs w:val="26"/>
        </w:rPr>
        <w:t>Межрайонная</w:t>
      </w:r>
      <w:proofErr w:type="gramEnd"/>
      <w:r w:rsidRPr="009911A3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сообщает, что перерасчет имущественных налогов по ранее направленным физлицам налоговым уведомлениям проводится при наличии оснований, предусмотренных законодательством о налогах. В частности, к ним могут относиться: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11A3">
        <w:rPr>
          <w:rFonts w:ascii="Arial" w:hAnsi="Arial" w:cs="Arial"/>
          <w:sz w:val="26"/>
          <w:szCs w:val="26"/>
        </w:rPr>
        <w:t>впервые заявленная гражданином налоговая льгота или информация о прекращении существования объекта налогообложения, относящаяся к периоду, за который направлено налоговое уведомление;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11A3">
        <w:rPr>
          <w:rFonts w:ascii="Arial" w:hAnsi="Arial" w:cs="Arial"/>
          <w:sz w:val="26"/>
          <w:szCs w:val="26"/>
        </w:rPr>
        <w:t>оспаривание кадастровой стоимости, использованной в качестве налоговой базы;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11A3">
        <w:rPr>
          <w:rFonts w:ascii="Arial" w:hAnsi="Arial" w:cs="Arial"/>
          <w:sz w:val="26"/>
          <w:szCs w:val="26"/>
        </w:rPr>
        <w:t>снижение налоговых ставок или введение налоговых льгот в отношении периода, за который направлено налоговое уведомление;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11A3">
        <w:rPr>
          <w:rFonts w:ascii="Arial" w:hAnsi="Arial" w:cs="Arial"/>
          <w:sz w:val="26"/>
          <w:szCs w:val="26"/>
        </w:rPr>
        <w:t>получение уточненных сведений из органов (организаций), регистрирующих объекты недвижимого имущества или транспортные средства (</w:t>
      </w:r>
      <w:proofErr w:type="spellStart"/>
      <w:r w:rsidRPr="009911A3">
        <w:rPr>
          <w:rFonts w:ascii="Arial" w:hAnsi="Arial" w:cs="Arial"/>
          <w:sz w:val="26"/>
          <w:szCs w:val="26"/>
        </w:rPr>
        <w:t>Росреестр</w:t>
      </w:r>
      <w:proofErr w:type="spellEnd"/>
      <w:r w:rsidRPr="009911A3">
        <w:rPr>
          <w:rFonts w:ascii="Arial" w:hAnsi="Arial" w:cs="Arial"/>
          <w:sz w:val="26"/>
          <w:szCs w:val="26"/>
        </w:rPr>
        <w:t xml:space="preserve">, ГИБДД МВД России, ГИМС МЧС России, инспекции </w:t>
      </w:r>
      <w:proofErr w:type="spellStart"/>
      <w:r w:rsidRPr="009911A3">
        <w:rPr>
          <w:rFonts w:ascii="Arial" w:hAnsi="Arial" w:cs="Arial"/>
          <w:sz w:val="26"/>
          <w:szCs w:val="26"/>
        </w:rPr>
        <w:t>гостехнадзора</w:t>
      </w:r>
      <w:proofErr w:type="spellEnd"/>
      <w:r w:rsidRPr="009911A3">
        <w:rPr>
          <w:rFonts w:ascii="Arial" w:hAnsi="Arial" w:cs="Arial"/>
          <w:sz w:val="26"/>
          <w:szCs w:val="26"/>
        </w:rPr>
        <w:t xml:space="preserve"> и т.п.);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11A3">
        <w:rPr>
          <w:rFonts w:ascii="Arial" w:hAnsi="Arial" w:cs="Arial"/>
          <w:sz w:val="26"/>
          <w:szCs w:val="26"/>
        </w:rPr>
        <w:t>исключение сведений из перечня объектов торгово-офисного назначения, предусмотренного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3A06DA">
        <w:rPr>
          <w:rFonts w:ascii="Arial" w:hAnsi="Arial" w:cs="Arial"/>
          <w:sz w:val="26"/>
          <w:szCs w:val="26"/>
        </w:rPr>
        <w:t xml:space="preserve">пункт 7 статьи 378.2 </w:t>
      </w:r>
      <w:r>
        <w:rPr>
          <w:rFonts w:ascii="Arial" w:hAnsi="Arial" w:cs="Arial"/>
          <w:sz w:val="26"/>
          <w:szCs w:val="26"/>
        </w:rPr>
        <w:t>Налогового кодекса Российской Федерации (далее - Кодекс)</w:t>
      </w:r>
      <w:r w:rsidRPr="009911A3">
        <w:rPr>
          <w:rFonts w:ascii="Arial" w:hAnsi="Arial" w:cs="Arial"/>
          <w:sz w:val="26"/>
          <w:szCs w:val="26"/>
        </w:rPr>
        <w:t>;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911A3">
        <w:rPr>
          <w:rFonts w:ascii="Arial" w:hAnsi="Arial" w:cs="Arial"/>
          <w:sz w:val="26"/>
          <w:szCs w:val="26"/>
        </w:rPr>
        <w:t xml:space="preserve">получение уточненных сведений </w:t>
      </w:r>
      <w:proofErr w:type="spellStart"/>
      <w:r w:rsidRPr="009911A3">
        <w:rPr>
          <w:rFonts w:ascii="Arial" w:hAnsi="Arial" w:cs="Arial"/>
          <w:sz w:val="26"/>
          <w:szCs w:val="26"/>
        </w:rPr>
        <w:t>Минпромторга</w:t>
      </w:r>
      <w:proofErr w:type="spellEnd"/>
      <w:r w:rsidRPr="009911A3">
        <w:rPr>
          <w:rFonts w:ascii="Arial" w:hAnsi="Arial" w:cs="Arial"/>
          <w:sz w:val="26"/>
          <w:szCs w:val="26"/>
        </w:rPr>
        <w:t xml:space="preserve"> России о включении транспортного средства в перечень легковых автомобилей средней стоимостью от 3 млн</w:t>
      </w:r>
      <w:r>
        <w:rPr>
          <w:rFonts w:ascii="Arial" w:hAnsi="Arial" w:cs="Arial"/>
          <w:sz w:val="26"/>
          <w:szCs w:val="26"/>
        </w:rPr>
        <w:t>.</w:t>
      </w:r>
      <w:r w:rsidRPr="009911A3">
        <w:rPr>
          <w:rFonts w:ascii="Arial" w:hAnsi="Arial" w:cs="Arial"/>
          <w:sz w:val="26"/>
          <w:szCs w:val="26"/>
        </w:rPr>
        <w:t xml:space="preserve"> рублей для определенного налогового периода.</w:t>
      </w:r>
    </w:p>
    <w:p w:rsid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A06DA">
        <w:rPr>
          <w:rFonts w:ascii="Arial" w:hAnsi="Arial" w:cs="Arial"/>
          <w:b/>
          <w:sz w:val="26"/>
          <w:szCs w:val="26"/>
          <w:u w:val="single"/>
        </w:rPr>
        <w:t>Перерасчет проводится</w:t>
      </w:r>
      <w:r w:rsidRPr="009911A3">
        <w:rPr>
          <w:rFonts w:ascii="Arial" w:hAnsi="Arial" w:cs="Arial"/>
          <w:sz w:val="26"/>
          <w:szCs w:val="26"/>
        </w:rPr>
        <w:t xml:space="preserve"> не более чем </w:t>
      </w:r>
      <w:r w:rsidRPr="003A06DA">
        <w:rPr>
          <w:rFonts w:ascii="Arial" w:hAnsi="Arial" w:cs="Arial"/>
          <w:b/>
          <w:sz w:val="26"/>
          <w:szCs w:val="26"/>
          <w:u w:val="single"/>
        </w:rPr>
        <w:t>за три налоговых периода</w:t>
      </w:r>
      <w:r w:rsidRPr="009911A3">
        <w:rPr>
          <w:rFonts w:ascii="Arial" w:hAnsi="Arial" w:cs="Arial"/>
          <w:sz w:val="26"/>
          <w:szCs w:val="26"/>
        </w:rPr>
        <w:t>, предшествующих году направления налогового уведомления в связи с таким перерасче</w:t>
      </w:r>
      <w:r w:rsidR="003A06DA">
        <w:rPr>
          <w:rFonts w:ascii="Arial" w:hAnsi="Arial" w:cs="Arial"/>
          <w:sz w:val="26"/>
          <w:szCs w:val="26"/>
        </w:rPr>
        <w:t>том, если иное не предусмотрено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3A06DA">
        <w:rPr>
          <w:rFonts w:ascii="Arial" w:hAnsi="Arial" w:cs="Arial"/>
          <w:sz w:val="26"/>
          <w:szCs w:val="26"/>
        </w:rPr>
        <w:t xml:space="preserve">пункт 2.1 статьи 52 </w:t>
      </w:r>
      <w:r>
        <w:rPr>
          <w:rFonts w:ascii="Arial" w:hAnsi="Arial" w:cs="Arial"/>
          <w:sz w:val="26"/>
          <w:szCs w:val="26"/>
        </w:rPr>
        <w:t>Кодекса</w:t>
      </w:r>
      <w:r w:rsidRPr="009911A3">
        <w:rPr>
          <w:rFonts w:ascii="Arial" w:hAnsi="Arial" w:cs="Arial"/>
          <w:sz w:val="26"/>
          <w:szCs w:val="26"/>
        </w:rPr>
        <w:t xml:space="preserve">. При этом перерасчет не выполняется, если он влечет увеличение ранее уплаченных по налоговому уведомлению сумм земельного налога или налога на имущество физических лиц, то есть ухудшает положение налогоплательщика. 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A06DA">
        <w:rPr>
          <w:rFonts w:ascii="Arial" w:hAnsi="Arial" w:cs="Arial"/>
          <w:b/>
          <w:sz w:val="26"/>
          <w:szCs w:val="26"/>
          <w:u w:val="single"/>
        </w:rPr>
        <w:lastRenderedPageBreak/>
        <w:t>С 1 июля 2021 года</w:t>
      </w:r>
      <w:r w:rsidRPr="009911A3">
        <w:rPr>
          <w:rFonts w:ascii="Arial" w:hAnsi="Arial" w:cs="Arial"/>
          <w:sz w:val="26"/>
          <w:szCs w:val="26"/>
        </w:rPr>
        <w:t xml:space="preserve"> данное условие применяется и для транспортного налога. Иных норм, ограничивающих период, за который при наличии оснований проводится перерасчет имущественных налогов, </w:t>
      </w:r>
      <w:r>
        <w:rPr>
          <w:rFonts w:ascii="Arial" w:hAnsi="Arial" w:cs="Arial"/>
          <w:sz w:val="26"/>
          <w:szCs w:val="26"/>
        </w:rPr>
        <w:t>Кодексом</w:t>
      </w:r>
      <w:r w:rsidRPr="009911A3">
        <w:rPr>
          <w:rFonts w:ascii="Arial" w:hAnsi="Arial" w:cs="Arial"/>
          <w:sz w:val="26"/>
          <w:szCs w:val="26"/>
        </w:rPr>
        <w:t xml:space="preserve"> не установлено.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11A3">
        <w:rPr>
          <w:rFonts w:ascii="Arial" w:hAnsi="Arial" w:cs="Arial"/>
          <w:sz w:val="26"/>
          <w:szCs w:val="26"/>
        </w:rPr>
        <w:t>Например, если гражданин, имеющий право на льготу по транспортному налогу, не подал заявление о ее предоставлении или не сообщил об отказе от ее применения, то льгота предоставляется на основании сведений, полученных налоговым органом от иных уполномоченных ведомств. Она применяется с налогового периода, в котором у налогоплательщика возникло право на льготу, предусмотренную законом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3A06DA">
        <w:rPr>
          <w:rFonts w:ascii="Arial" w:hAnsi="Arial" w:cs="Arial"/>
          <w:sz w:val="26"/>
          <w:szCs w:val="26"/>
        </w:rPr>
        <w:t>субъекта Российской Ф</w:t>
      </w:r>
      <w:r>
        <w:rPr>
          <w:rFonts w:ascii="Arial" w:hAnsi="Arial" w:cs="Arial"/>
          <w:sz w:val="26"/>
          <w:szCs w:val="26"/>
        </w:rPr>
        <w:t>едерации</w:t>
      </w:r>
      <w:r w:rsidRPr="009911A3">
        <w:rPr>
          <w:rFonts w:ascii="Arial" w:hAnsi="Arial" w:cs="Arial"/>
          <w:sz w:val="26"/>
          <w:szCs w:val="26"/>
        </w:rPr>
        <w:t>. Таким образом, перерасчёт налога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3A06DA">
        <w:rPr>
          <w:rFonts w:ascii="Arial" w:hAnsi="Arial" w:cs="Arial"/>
          <w:sz w:val="26"/>
          <w:szCs w:val="26"/>
        </w:rPr>
        <w:t>проводится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9911A3">
        <w:rPr>
          <w:rFonts w:ascii="Arial" w:hAnsi="Arial" w:cs="Arial"/>
          <w:sz w:val="26"/>
          <w:szCs w:val="26"/>
        </w:rPr>
        <w:t>с налогового периода, в котором у физического лица возникло право на налоговую льготу.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11A3">
        <w:rPr>
          <w:rFonts w:ascii="Arial" w:hAnsi="Arial" w:cs="Arial"/>
          <w:sz w:val="26"/>
          <w:szCs w:val="26"/>
        </w:rPr>
        <w:t>В случае установления кадастровой стоимости земельного участка в размере рыночной, в том числе по результатам оспаривания, с 2019 года сведения о</w:t>
      </w:r>
      <w:bookmarkStart w:id="0" w:name="_GoBack"/>
      <w:bookmarkEnd w:id="0"/>
      <w:r w:rsidRPr="009911A3">
        <w:rPr>
          <w:rFonts w:ascii="Arial" w:hAnsi="Arial" w:cs="Arial"/>
          <w:sz w:val="26"/>
          <w:szCs w:val="26"/>
        </w:rPr>
        <w:t xml:space="preserve">б уменьшенной кадастровой стоимости, внесенные в Единый государственный реестр недвижимости, учитываются при определении налоговой базы </w:t>
      </w:r>
      <w:proofErr w:type="gramStart"/>
      <w:r w:rsidRPr="009911A3">
        <w:rPr>
          <w:rFonts w:ascii="Arial" w:hAnsi="Arial" w:cs="Arial"/>
          <w:sz w:val="26"/>
          <w:szCs w:val="26"/>
        </w:rPr>
        <w:t>с даты применения</w:t>
      </w:r>
      <w:proofErr w:type="gramEnd"/>
      <w:r w:rsidRPr="009911A3">
        <w:rPr>
          <w:rFonts w:ascii="Arial" w:hAnsi="Arial" w:cs="Arial"/>
          <w:sz w:val="26"/>
          <w:szCs w:val="26"/>
        </w:rPr>
        <w:t xml:space="preserve"> изменяемой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3A06DA">
        <w:rPr>
          <w:rFonts w:ascii="Arial" w:hAnsi="Arial" w:cs="Arial"/>
          <w:sz w:val="26"/>
          <w:szCs w:val="26"/>
        </w:rPr>
        <w:t>кадастровой стоимости</w:t>
      </w:r>
      <w:r w:rsidRPr="009911A3">
        <w:rPr>
          <w:rFonts w:ascii="Arial" w:hAnsi="Arial" w:cs="Arial"/>
          <w:sz w:val="26"/>
          <w:szCs w:val="26"/>
        </w:rPr>
        <w:t>. Таким образом, перерасчёт земельного налога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3A06DA">
        <w:rPr>
          <w:rFonts w:ascii="Arial" w:hAnsi="Arial" w:cs="Arial"/>
          <w:sz w:val="26"/>
          <w:szCs w:val="26"/>
        </w:rPr>
        <w:t>проводится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9911A3">
        <w:rPr>
          <w:rFonts w:ascii="Arial" w:hAnsi="Arial" w:cs="Arial"/>
          <w:sz w:val="26"/>
          <w:szCs w:val="26"/>
        </w:rPr>
        <w:t>с налогового периода, в котором применялась оспоренная кадастровая стоимость.</w:t>
      </w:r>
    </w:p>
    <w:p w:rsidR="009911A3" w:rsidRPr="009911A3" w:rsidRDefault="009911A3" w:rsidP="0024629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11A3">
        <w:rPr>
          <w:rFonts w:ascii="Arial" w:hAnsi="Arial" w:cs="Arial"/>
          <w:sz w:val="26"/>
          <w:szCs w:val="26"/>
        </w:rPr>
        <w:t>Ответы на иные вопросы, касающиеся перерасчета имущественных налогов, содержатся в</w:t>
      </w:r>
      <w:r w:rsidR="003A06DA" w:rsidRPr="003A06DA">
        <w:rPr>
          <w:rFonts w:ascii="Arial" w:hAnsi="Arial" w:cs="Arial"/>
          <w:sz w:val="26"/>
          <w:szCs w:val="26"/>
        </w:rPr>
        <w:t xml:space="preserve"> </w:t>
      </w:r>
      <w:r w:rsidRPr="003A06DA">
        <w:rPr>
          <w:rFonts w:ascii="Arial" w:hAnsi="Arial" w:cs="Arial"/>
          <w:sz w:val="26"/>
          <w:szCs w:val="26"/>
        </w:rPr>
        <w:t>письме ФНС России от 01.04.2021 № БС-4-21/4356@</w:t>
      </w:r>
      <w:r w:rsidRPr="009911A3">
        <w:rPr>
          <w:rFonts w:ascii="Arial" w:hAnsi="Arial" w:cs="Arial"/>
          <w:sz w:val="26"/>
          <w:szCs w:val="26"/>
        </w:rPr>
        <w:t>.</w:t>
      </w:r>
    </w:p>
    <w:sectPr w:rsidR="009911A3" w:rsidRPr="009911A3" w:rsidSect="009911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1DE"/>
    <w:multiLevelType w:val="multilevel"/>
    <w:tmpl w:val="3E0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A3"/>
    <w:rsid w:val="000C40ED"/>
    <w:rsid w:val="00246298"/>
    <w:rsid w:val="003A06DA"/>
    <w:rsid w:val="004E57BF"/>
    <w:rsid w:val="009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3"/>
  </w:style>
  <w:style w:type="paragraph" w:styleId="1">
    <w:name w:val="heading 1"/>
    <w:basedOn w:val="a"/>
    <w:link w:val="10"/>
    <w:uiPriority w:val="9"/>
    <w:qFormat/>
    <w:rsid w:val="00991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1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3"/>
  </w:style>
  <w:style w:type="paragraph" w:styleId="1">
    <w:name w:val="heading 1"/>
    <w:basedOn w:val="a"/>
    <w:link w:val="10"/>
    <w:uiPriority w:val="9"/>
    <w:qFormat/>
    <w:rsid w:val="00991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1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Кашин Константин</cp:lastModifiedBy>
  <cp:revision>3</cp:revision>
  <dcterms:created xsi:type="dcterms:W3CDTF">2021-04-08T07:38:00Z</dcterms:created>
  <dcterms:modified xsi:type="dcterms:W3CDTF">2021-04-08T08:17:00Z</dcterms:modified>
</cp:coreProperties>
</file>